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B693" w14:textId="259C1832" w:rsidR="00C679A3" w:rsidRDefault="00C679A3" w:rsidP="004510CA">
      <w:pPr>
        <w:pStyle w:val="Default"/>
        <w:spacing w:line="340" w:lineRule="exact"/>
        <w:jc w:val="center"/>
        <w:rPr>
          <w:sz w:val="21"/>
          <w:szCs w:val="21"/>
        </w:rPr>
      </w:pPr>
      <w:r>
        <w:rPr>
          <w:rFonts w:hint="eastAsia"/>
          <w:sz w:val="21"/>
          <w:szCs w:val="21"/>
        </w:rPr>
        <w:t>全体会計財務書類に係る注記</w:t>
      </w:r>
    </w:p>
    <w:p w14:paraId="4826C6BF" w14:textId="77777777" w:rsidR="00C679A3" w:rsidRDefault="00C679A3" w:rsidP="004510CA">
      <w:pPr>
        <w:pStyle w:val="Default"/>
        <w:spacing w:line="340" w:lineRule="exact"/>
        <w:rPr>
          <w:sz w:val="21"/>
          <w:szCs w:val="21"/>
        </w:rPr>
      </w:pPr>
    </w:p>
    <w:p w14:paraId="12A360B6" w14:textId="77777777" w:rsidR="00C679A3" w:rsidRDefault="00C679A3" w:rsidP="004510CA">
      <w:pPr>
        <w:pStyle w:val="Default"/>
        <w:spacing w:line="340" w:lineRule="exact"/>
        <w:rPr>
          <w:sz w:val="21"/>
          <w:szCs w:val="21"/>
        </w:rPr>
      </w:pPr>
      <w:r>
        <w:rPr>
          <w:rFonts w:hint="eastAsia"/>
          <w:sz w:val="21"/>
          <w:szCs w:val="21"/>
        </w:rPr>
        <w:t>１．重要な会計方針</w:t>
      </w:r>
    </w:p>
    <w:p w14:paraId="20C1E476" w14:textId="77777777" w:rsidR="00C679A3" w:rsidRDefault="00C679A3" w:rsidP="004510CA">
      <w:pPr>
        <w:pStyle w:val="Default"/>
        <w:spacing w:line="340" w:lineRule="exact"/>
        <w:rPr>
          <w:sz w:val="21"/>
          <w:szCs w:val="21"/>
        </w:rPr>
      </w:pPr>
      <w:r>
        <w:rPr>
          <w:rFonts w:hint="eastAsia"/>
          <w:sz w:val="21"/>
          <w:szCs w:val="21"/>
        </w:rPr>
        <w:t>（１）</w:t>
      </w:r>
      <w:r>
        <w:rPr>
          <w:sz w:val="21"/>
          <w:szCs w:val="21"/>
        </w:rPr>
        <w:t xml:space="preserve"> </w:t>
      </w:r>
      <w:r>
        <w:rPr>
          <w:rFonts w:hint="eastAsia"/>
          <w:sz w:val="21"/>
          <w:szCs w:val="21"/>
        </w:rPr>
        <w:t>有形固定資産等の評価基準及び評価方法</w:t>
      </w:r>
    </w:p>
    <w:p w14:paraId="49663B23" w14:textId="77777777" w:rsidR="00C679A3" w:rsidRDefault="00C679A3" w:rsidP="004510CA">
      <w:pPr>
        <w:pStyle w:val="Default"/>
        <w:spacing w:line="340" w:lineRule="exact"/>
        <w:ind w:firstLineChars="100" w:firstLine="210"/>
        <w:rPr>
          <w:sz w:val="21"/>
          <w:szCs w:val="21"/>
        </w:rPr>
      </w:pPr>
      <w:r>
        <w:rPr>
          <w:rFonts w:hint="eastAsia"/>
          <w:sz w:val="21"/>
          <w:szCs w:val="21"/>
        </w:rPr>
        <w:t>開始時における有形固定資産等の評価は原則として取得原価とし、取得原価が不明なものは原則として再調達原価としております。また開始後については、原則として取得原価とし再調達は行わないこととしております。</w:t>
      </w:r>
    </w:p>
    <w:p w14:paraId="71F7975C" w14:textId="77777777" w:rsidR="00C679A3" w:rsidRDefault="00C679A3" w:rsidP="004510CA">
      <w:pPr>
        <w:pStyle w:val="Default"/>
        <w:spacing w:line="340" w:lineRule="exact"/>
        <w:rPr>
          <w:sz w:val="21"/>
          <w:szCs w:val="21"/>
        </w:rPr>
      </w:pPr>
    </w:p>
    <w:p w14:paraId="4276A8F8" w14:textId="77777777" w:rsidR="00C679A3" w:rsidRDefault="00C679A3" w:rsidP="004510CA">
      <w:pPr>
        <w:pStyle w:val="Default"/>
        <w:spacing w:line="340" w:lineRule="exact"/>
        <w:rPr>
          <w:sz w:val="21"/>
          <w:szCs w:val="21"/>
        </w:rPr>
      </w:pPr>
      <w:r>
        <w:rPr>
          <w:rFonts w:hint="eastAsia"/>
          <w:sz w:val="21"/>
          <w:szCs w:val="21"/>
        </w:rPr>
        <w:t>（２）</w:t>
      </w:r>
      <w:r>
        <w:rPr>
          <w:sz w:val="21"/>
          <w:szCs w:val="21"/>
        </w:rPr>
        <w:t xml:space="preserve"> </w:t>
      </w:r>
      <w:r>
        <w:rPr>
          <w:rFonts w:hint="eastAsia"/>
          <w:sz w:val="21"/>
          <w:szCs w:val="21"/>
        </w:rPr>
        <w:t>有価証券等の評価基準及び評価方法</w:t>
      </w:r>
    </w:p>
    <w:p w14:paraId="5D3D185F" w14:textId="77777777" w:rsidR="00C679A3" w:rsidRDefault="00C679A3" w:rsidP="004510CA">
      <w:pPr>
        <w:pStyle w:val="Default"/>
        <w:spacing w:line="340" w:lineRule="exact"/>
        <w:ind w:firstLineChars="100" w:firstLine="210"/>
        <w:rPr>
          <w:rFonts w:hAnsi="Century"/>
          <w:sz w:val="21"/>
          <w:szCs w:val="21"/>
        </w:rPr>
      </w:pPr>
      <w:r>
        <w:rPr>
          <w:rFonts w:hint="eastAsia"/>
          <w:sz w:val="21"/>
          <w:szCs w:val="21"/>
        </w:rPr>
        <w:t>出資金のうち、市場価格があるものは会計年度末における市場価格をもって貸借対照表価額としております。出資金のうち、市場価格がないものは出資金額をもって貸借対照表価額としております。ただし、市場価格のないものについて、出資先の財政状態の悪化により出資金の価値が著しく低下した場合には、相当の減額を行うこととしております。なお、出資金の価値の低下割合が</w:t>
      </w:r>
      <w:r>
        <w:rPr>
          <w:rFonts w:ascii="Century" w:hAnsi="Century" w:cs="Century"/>
          <w:sz w:val="21"/>
          <w:szCs w:val="21"/>
        </w:rPr>
        <w:t>30%</w:t>
      </w:r>
      <w:r>
        <w:rPr>
          <w:rFonts w:hAnsi="Century" w:hint="eastAsia"/>
          <w:sz w:val="21"/>
          <w:szCs w:val="21"/>
        </w:rPr>
        <w:t>以上である場合には、「著しく低下したとき」に該当するものとしております。</w:t>
      </w:r>
    </w:p>
    <w:p w14:paraId="0BDCCC08" w14:textId="77777777" w:rsidR="00C679A3" w:rsidRDefault="00C679A3" w:rsidP="004510CA">
      <w:pPr>
        <w:pStyle w:val="Default"/>
        <w:spacing w:line="340" w:lineRule="exact"/>
        <w:rPr>
          <w:rFonts w:hAnsi="Century"/>
          <w:sz w:val="21"/>
          <w:szCs w:val="21"/>
        </w:rPr>
      </w:pPr>
    </w:p>
    <w:p w14:paraId="308C0861" w14:textId="77777777" w:rsidR="00C679A3" w:rsidRDefault="00C679A3" w:rsidP="004510CA">
      <w:pPr>
        <w:pStyle w:val="Default"/>
        <w:spacing w:line="340" w:lineRule="exac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有形固定資産等の減価償却の方法</w:t>
      </w:r>
    </w:p>
    <w:p w14:paraId="072A30EE" w14:textId="77777777" w:rsidR="00C679A3" w:rsidRDefault="00C679A3"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有形固定資産（事業用資産、インフラ資産）</w:t>
      </w:r>
    </w:p>
    <w:p w14:paraId="78A3DD12"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定額法を採用しております。</w:t>
      </w:r>
    </w:p>
    <w:p w14:paraId="4164E7BC" w14:textId="77777777" w:rsidR="00C679A3" w:rsidRDefault="00C679A3"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無形固定資産</w:t>
      </w:r>
    </w:p>
    <w:p w14:paraId="571AFC39"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定額法を採用しております。</w:t>
      </w:r>
    </w:p>
    <w:p w14:paraId="414B0A3F" w14:textId="77777777" w:rsidR="00C679A3" w:rsidRDefault="00C679A3" w:rsidP="004510CA">
      <w:pPr>
        <w:pStyle w:val="Default"/>
        <w:spacing w:line="340" w:lineRule="exact"/>
        <w:rPr>
          <w:rFonts w:hAnsi="Century"/>
          <w:sz w:val="21"/>
          <w:szCs w:val="21"/>
        </w:rPr>
      </w:pPr>
    </w:p>
    <w:p w14:paraId="76D4F02B" w14:textId="77777777" w:rsidR="00C679A3" w:rsidRDefault="00C679A3" w:rsidP="004510CA">
      <w:pPr>
        <w:pStyle w:val="Default"/>
        <w:spacing w:line="340" w:lineRule="exac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引当金の計上基準及び算定方法</w:t>
      </w:r>
    </w:p>
    <w:p w14:paraId="284A9D57" w14:textId="77777777" w:rsidR="009D421F" w:rsidRDefault="009D421F"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徴収不能引当金</w:t>
      </w:r>
    </w:p>
    <w:p w14:paraId="5182DD4F" w14:textId="77777777"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過去</w:t>
      </w:r>
      <w:r>
        <w:rPr>
          <w:rFonts w:ascii="Century" w:hAnsi="Century" w:cs="Century"/>
          <w:sz w:val="21"/>
          <w:szCs w:val="21"/>
        </w:rPr>
        <w:t>5</w:t>
      </w:r>
      <w:r>
        <w:rPr>
          <w:rFonts w:hAnsi="Century" w:hint="eastAsia"/>
          <w:sz w:val="21"/>
          <w:szCs w:val="21"/>
        </w:rPr>
        <w:t>年間の平均不納欠損率により計上しております。</w:t>
      </w:r>
    </w:p>
    <w:p w14:paraId="2470FD36" w14:textId="77777777" w:rsidR="009D421F" w:rsidRDefault="009D421F"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賞与引当金</w:t>
      </w:r>
    </w:p>
    <w:p w14:paraId="1DAECE78" w14:textId="77777777"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翌年度</w:t>
      </w:r>
      <w:r>
        <w:rPr>
          <w:rFonts w:ascii="Century" w:hAnsi="Century" w:cs="Century"/>
          <w:sz w:val="21"/>
          <w:szCs w:val="21"/>
        </w:rPr>
        <w:t>6</w:t>
      </w:r>
      <w:r>
        <w:rPr>
          <w:rFonts w:hAnsi="Century" w:hint="eastAsia"/>
          <w:sz w:val="21"/>
          <w:szCs w:val="21"/>
        </w:rPr>
        <w:t>月支給予定の期末・勤勉手当のうち、全支給対象期間に対する本年度の支給対象期間の割合（</w:t>
      </w:r>
      <w:r>
        <w:rPr>
          <w:rFonts w:ascii="Century" w:hAnsi="Century" w:cs="Century"/>
          <w:sz w:val="21"/>
          <w:szCs w:val="21"/>
        </w:rPr>
        <w:t>4/6</w:t>
      </w:r>
      <w:r>
        <w:rPr>
          <w:rFonts w:hAnsi="Century" w:hint="eastAsia"/>
          <w:sz w:val="21"/>
          <w:szCs w:val="21"/>
        </w:rPr>
        <w:t>か月）を乗じた額を計上しております。</w:t>
      </w:r>
    </w:p>
    <w:p w14:paraId="5633A0DE" w14:textId="77777777" w:rsidR="009D421F" w:rsidRDefault="009D421F" w:rsidP="004510CA">
      <w:pPr>
        <w:pStyle w:val="Default"/>
        <w:spacing w:line="340" w:lineRule="exact"/>
        <w:rPr>
          <w:rFonts w:hAnsi="Century"/>
          <w:sz w:val="21"/>
          <w:szCs w:val="21"/>
        </w:rPr>
      </w:pPr>
      <w:r>
        <w:rPr>
          <w:rFonts w:hAnsi="Century" w:hint="eastAsia"/>
          <w:sz w:val="21"/>
          <w:szCs w:val="21"/>
        </w:rPr>
        <w:t>③</w:t>
      </w:r>
      <w:r>
        <w:rPr>
          <w:rFonts w:hAnsi="Century"/>
          <w:sz w:val="21"/>
          <w:szCs w:val="21"/>
        </w:rPr>
        <w:t xml:space="preserve"> </w:t>
      </w:r>
      <w:r>
        <w:rPr>
          <w:rFonts w:hAnsi="Century" w:hint="eastAsia"/>
          <w:sz w:val="21"/>
          <w:szCs w:val="21"/>
        </w:rPr>
        <w:t>退職給付引当金</w:t>
      </w:r>
    </w:p>
    <w:p w14:paraId="15AF453C" w14:textId="77777777"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地方公共団体財政健全化法における退職手当支給額に係る負担見込額算定方法に従っております。</w:t>
      </w:r>
    </w:p>
    <w:p w14:paraId="1293202E" w14:textId="2EBC96E2"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また、当期繰入額がマイナスとなった場合は、経常収益その他へ振り替えております。</w:t>
      </w:r>
    </w:p>
    <w:p w14:paraId="5B366F1B" w14:textId="77777777" w:rsidR="004510CA" w:rsidRDefault="004510CA" w:rsidP="004510CA">
      <w:pPr>
        <w:pStyle w:val="Default"/>
        <w:spacing w:line="340" w:lineRule="exact"/>
        <w:rPr>
          <w:rFonts w:hAnsi="Century"/>
          <w:sz w:val="21"/>
          <w:szCs w:val="21"/>
        </w:rPr>
      </w:pPr>
      <w:r>
        <w:rPr>
          <w:rFonts w:hAnsi="Century" w:hint="eastAsia"/>
          <w:sz w:val="21"/>
          <w:szCs w:val="21"/>
        </w:rPr>
        <w:t>④</w:t>
      </w:r>
      <w:r>
        <w:rPr>
          <w:rFonts w:hAnsi="Century"/>
          <w:sz w:val="21"/>
          <w:szCs w:val="21"/>
        </w:rPr>
        <w:t xml:space="preserve"> </w:t>
      </w:r>
      <w:r>
        <w:rPr>
          <w:rFonts w:hAnsi="Century" w:hint="eastAsia"/>
          <w:sz w:val="21"/>
          <w:szCs w:val="21"/>
        </w:rPr>
        <w:t>損失補償引当金</w:t>
      </w:r>
    </w:p>
    <w:p w14:paraId="52514922" w14:textId="77777777" w:rsidR="004510CA" w:rsidRDefault="004510CA" w:rsidP="004510CA">
      <w:pPr>
        <w:pStyle w:val="Default"/>
        <w:spacing w:line="340" w:lineRule="exact"/>
        <w:ind w:firstLineChars="100" w:firstLine="210"/>
        <w:rPr>
          <w:rFonts w:hAnsi="Century"/>
          <w:sz w:val="21"/>
          <w:szCs w:val="21"/>
        </w:rPr>
      </w:pPr>
      <w:r>
        <w:rPr>
          <w:rFonts w:hAnsi="Century" w:hint="eastAsia"/>
          <w:sz w:val="21"/>
          <w:szCs w:val="21"/>
        </w:rPr>
        <w:t>地方公共団体財政健全化法における損失補償債務等に係る一般会計等負担見込額算定方法に従っております。</w:t>
      </w:r>
    </w:p>
    <w:p w14:paraId="6E4B948F" w14:textId="24256C07" w:rsidR="00C679A3" w:rsidRDefault="004510CA" w:rsidP="004510CA">
      <w:pPr>
        <w:pStyle w:val="Default"/>
        <w:spacing w:line="340" w:lineRule="exact"/>
        <w:ind w:firstLineChars="100" w:firstLine="210"/>
        <w:rPr>
          <w:rFonts w:hAnsi="Century"/>
          <w:sz w:val="21"/>
          <w:szCs w:val="21"/>
        </w:rPr>
      </w:pPr>
      <w:r>
        <w:rPr>
          <w:rFonts w:hAnsi="Century" w:hint="eastAsia"/>
          <w:sz w:val="21"/>
          <w:szCs w:val="21"/>
        </w:rPr>
        <w:t>また、当期繰入額がマイナスとなった場合は、臨時利益へ振り替えております。</w:t>
      </w:r>
    </w:p>
    <w:p w14:paraId="4AAE0DDA" w14:textId="12563EB6" w:rsidR="0051264A" w:rsidRDefault="0051264A" w:rsidP="004510CA">
      <w:pPr>
        <w:pStyle w:val="Default"/>
        <w:spacing w:line="340" w:lineRule="exact"/>
        <w:ind w:firstLineChars="100" w:firstLine="210"/>
        <w:rPr>
          <w:rFonts w:hAnsi="Century"/>
          <w:sz w:val="21"/>
          <w:szCs w:val="21"/>
        </w:rPr>
      </w:pPr>
    </w:p>
    <w:p w14:paraId="11B08FC8" w14:textId="77777777" w:rsidR="0051264A" w:rsidRPr="004510CA" w:rsidRDefault="0051264A" w:rsidP="004510CA">
      <w:pPr>
        <w:pStyle w:val="Default"/>
        <w:spacing w:line="340" w:lineRule="exact"/>
        <w:ind w:firstLineChars="100" w:firstLine="210"/>
        <w:rPr>
          <w:rFonts w:hAnsi="Century"/>
          <w:sz w:val="21"/>
          <w:szCs w:val="21"/>
        </w:rPr>
      </w:pPr>
    </w:p>
    <w:p w14:paraId="36A0AB79" w14:textId="4CDF0DE8" w:rsidR="0051264A" w:rsidRDefault="00C679A3" w:rsidP="004510CA">
      <w:pPr>
        <w:pStyle w:val="Default"/>
        <w:spacing w:line="340" w:lineRule="exact"/>
        <w:rPr>
          <w:rFonts w:hAnsi="Century"/>
          <w:sz w:val="21"/>
          <w:szCs w:val="21"/>
        </w:rPr>
      </w:pPr>
      <w:r>
        <w:rPr>
          <w:rFonts w:hAnsi="Century" w:hint="eastAsia"/>
          <w:sz w:val="21"/>
          <w:szCs w:val="21"/>
        </w:rPr>
        <w:lastRenderedPageBreak/>
        <w:t>（５）</w:t>
      </w:r>
      <w:r>
        <w:rPr>
          <w:rFonts w:hAnsi="Century"/>
          <w:sz w:val="21"/>
          <w:szCs w:val="21"/>
        </w:rPr>
        <w:t xml:space="preserve"> </w:t>
      </w:r>
      <w:r>
        <w:rPr>
          <w:rFonts w:hAnsi="Century" w:hint="eastAsia"/>
          <w:sz w:val="21"/>
          <w:szCs w:val="21"/>
        </w:rPr>
        <w:t>リース取引の処理方法</w:t>
      </w:r>
    </w:p>
    <w:p w14:paraId="611FBAF8"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ファイナンス・リース取引については、通常の売買取引に係る方法に準じて会計処理を行っております（少額リース資産及び短期のリース取引には簡便的な取扱いをし、通常の賃貸借に係る方法に準じて会計処理を行っております）。</w:t>
      </w:r>
    </w:p>
    <w:p w14:paraId="1954AD63" w14:textId="77777777" w:rsidR="00C679A3" w:rsidRDefault="00C679A3" w:rsidP="004510CA">
      <w:pPr>
        <w:pStyle w:val="Default"/>
        <w:spacing w:line="340" w:lineRule="exact"/>
        <w:rPr>
          <w:rFonts w:hAnsi="Century"/>
          <w:sz w:val="21"/>
          <w:szCs w:val="21"/>
        </w:rPr>
      </w:pPr>
    </w:p>
    <w:p w14:paraId="608C7B04" w14:textId="77777777" w:rsidR="00C679A3" w:rsidRDefault="00C679A3" w:rsidP="004510CA">
      <w:pPr>
        <w:pStyle w:val="Default"/>
        <w:spacing w:line="340" w:lineRule="exact"/>
        <w:rPr>
          <w:rFonts w:hAnsi="Century"/>
          <w:sz w:val="21"/>
          <w:szCs w:val="21"/>
        </w:rPr>
      </w:pPr>
      <w:r>
        <w:rPr>
          <w:rFonts w:hAnsi="Century" w:hint="eastAsia"/>
          <w:sz w:val="21"/>
          <w:szCs w:val="21"/>
        </w:rPr>
        <w:t>（６）</w:t>
      </w:r>
      <w:r>
        <w:rPr>
          <w:rFonts w:hAnsi="Century"/>
          <w:sz w:val="21"/>
          <w:szCs w:val="21"/>
        </w:rPr>
        <w:t xml:space="preserve"> </w:t>
      </w:r>
      <w:r>
        <w:rPr>
          <w:rFonts w:hAnsi="Century" w:hint="eastAsia"/>
          <w:sz w:val="21"/>
          <w:szCs w:val="21"/>
        </w:rPr>
        <w:t>資金収支計算書における資金の範囲</w:t>
      </w:r>
    </w:p>
    <w:p w14:paraId="0858304F"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現金（手許現金及び要求払預金）及び現金同等物（</w:t>
      </w:r>
      <w:r>
        <w:rPr>
          <w:rFonts w:ascii="Century" w:hAnsi="Century" w:cs="Century"/>
          <w:sz w:val="21"/>
          <w:szCs w:val="21"/>
        </w:rPr>
        <w:t>3</w:t>
      </w:r>
      <w:r>
        <w:rPr>
          <w:rFonts w:hAnsi="Century" w:hint="eastAsia"/>
          <w:sz w:val="21"/>
          <w:szCs w:val="21"/>
        </w:rPr>
        <w:t>ヶ月以内の短期投資等）を資金の範囲としております。このうち現金同等物は、短期投資の他、出納整理期間中の取引により発生する資金の受払いも含んでおります。</w:t>
      </w:r>
    </w:p>
    <w:p w14:paraId="3A41F0BC" w14:textId="77777777" w:rsidR="00C679A3" w:rsidRDefault="00C679A3" w:rsidP="004510CA">
      <w:pPr>
        <w:pStyle w:val="Default"/>
        <w:spacing w:line="340" w:lineRule="exact"/>
        <w:rPr>
          <w:rFonts w:hAnsi="Century"/>
          <w:sz w:val="21"/>
          <w:szCs w:val="21"/>
        </w:rPr>
      </w:pPr>
    </w:p>
    <w:p w14:paraId="0EBD3251" w14:textId="77777777" w:rsidR="00C679A3" w:rsidRDefault="00C679A3" w:rsidP="004510CA">
      <w:pPr>
        <w:pStyle w:val="Default"/>
        <w:spacing w:line="340" w:lineRule="exact"/>
        <w:rPr>
          <w:rFonts w:hAnsi="Century"/>
          <w:sz w:val="21"/>
          <w:szCs w:val="21"/>
        </w:rPr>
      </w:pPr>
      <w:r>
        <w:rPr>
          <w:rFonts w:hAnsi="Century" w:hint="eastAsia"/>
          <w:sz w:val="21"/>
          <w:szCs w:val="21"/>
        </w:rPr>
        <w:t>（７）</w:t>
      </w:r>
      <w:r>
        <w:rPr>
          <w:rFonts w:hAnsi="Century"/>
          <w:sz w:val="21"/>
          <w:szCs w:val="21"/>
        </w:rPr>
        <w:t xml:space="preserve"> </w:t>
      </w:r>
      <w:r>
        <w:rPr>
          <w:rFonts w:hAnsi="Century" w:hint="eastAsia"/>
          <w:sz w:val="21"/>
          <w:szCs w:val="21"/>
        </w:rPr>
        <w:t>その他財務書類作成のための基本となる重要な事項</w:t>
      </w:r>
    </w:p>
    <w:p w14:paraId="0B4014FC" w14:textId="77777777" w:rsidR="00C679A3" w:rsidRDefault="00C679A3"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消費税等の会計処理</w:t>
      </w:r>
    </w:p>
    <w:p w14:paraId="3471CCEE"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税込方式によっております。</w:t>
      </w:r>
    </w:p>
    <w:p w14:paraId="0CCFA7F2" w14:textId="77777777" w:rsidR="00C679A3" w:rsidRDefault="00C679A3"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物品及びソフトウェアの計上基準</w:t>
      </w:r>
    </w:p>
    <w:p w14:paraId="156AAE75"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物品については、取得価額又は見積価格が</w:t>
      </w:r>
      <w:r>
        <w:rPr>
          <w:rFonts w:ascii="Century" w:hAnsi="Century" w:cs="Century"/>
          <w:sz w:val="21"/>
          <w:szCs w:val="21"/>
        </w:rPr>
        <w:t xml:space="preserve">50 </w:t>
      </w:r>
      <w:r>
        <w:rPr>
          <w:rFonts w:hAnsi="Century" w:hint="eastAsia"/>
          <w:sz w:val="21"/>
          <w:szCs w:val="21"/>
        </w:rPr>
        <w:t>万円（美術品は</w:t>
      </w:r>
      <w:r>
        <w:rPr>
          <w:rFonts w:ascii="Century" w:hAnsi="Century" w:cs="Century"/>
          <w:sz w:val="21"/>
          <w:szCs w:val="21"/>
        </w:rPr>
        <w:t xml:space="preserve">300 </w:t>
      </w:r>
      <w:r>
        <w:rPr>
          <w:rFonts w:hAnsi="Century" w:hint="eastAsia"/>
          <w:sz w:val="21"/>
          <w:szCs w:val="21"/>
        </w:rPr>
        <w:t>万円）以上の場合に資産として計上しています。ソフトウェアについても物品の取扱いに準じています。</w:t>
      </w:r>
    </w:p>
    <w:p w14:paraId="38B3732E" w14:textId="77777777" w:rsidR="00C679A3" w:rsidRDefault="00C679A3" w:rsidP="004510CA">
      <w:pPr>
        <w:pStyle w:val="Default"/>
        <w:spacing w:line="340" w:lineRule="exact"/>
        <w:rPr>
          <w:rFonts w:hAnsi="Century"/>
          <w:sz w:val="21"/>
          <w:szCs w:val="21"/>
        </w:rPr>
      </w:pPr>
    </w:p>
    <w:p w14:paraId="575679C9" w14:textId="77777777" w:rsidR="00C679A3" w:rsidRDefault="00C679A3" w:rsidP="004510CA">
      <w:pPr>
        <w:pStyle w:val="Default"/>
        <w:spacing w:line="340" w:lineRule="exact"/>
        <w:rPr>
          <w:rFonts w:hAnsi="Century"/>
          <w:sz w:val="21"/>
          <w:szCs w:val="21"/>
        </w:rPr>
      </w:pPr>
      <w:r>
        <w:rPr>
          <w:rFonts w:hAnsi="Century" w:hint="eastAsia"/>
          <w:sz w:val="21"/>
          <w:szCs w:val="21"/>
        </w:rPr>
        <w:t>２．重要な会計方針の変更等</w:t>
      </w:r>
    </w:p>
    <w:p w14:paraId="2B8AF833" w14:textId="77777777" w:rsidR="00C679A3" w:rsidRDefault="00C679A3" w:rsidP="004510CA">
      <w:pPr>
        <w:pStyle w:val="Default"/>
        <w:spacing w:line="340" w:lineRule="exact"/>
        <w:rPr>
          <w:rFonts w:hAnsi="Century"/>
          <w:sz w:val="21"/>
          <w:szCs w:val="21"/>
        </w:rPr>
      </w:pPr>
      <w:r>
        <w:rPr>
          <w:rFonts w:hAnsi="Century" w:hint="eastAsia"/>
          <w:sz w:val="21"/>
          <w:szCs w:val="21"/>
        </w:rPr>
        <w:t>（１）会計処理の原則</w:t>
      </w:r>
    </w:p>
    <w:p w14:paraId="0D6090C0" w14:textId="3989B51F"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総務省「新地方公会計制度研究会」報告</w:t>
      </w:r>
      <w:r w:rsidR="00B7294C">
        <w:rPr>
          <w:rFonts w:hAnsi="Century" w:hint="eastAsia"/>
          <w:sz w:val="21"/>
          <w:szCs w:val="21"/>
        </w:rPr>
        <w:t>に基づき、</w:t>
      </w:r>
      <w:r>
        <w:rPr>
          <w:rFonts w:hAnsi="Century" w:hint="eastAsia"/>
          <w:sz w:val="21"/>
          <w:szCs w:val="21"/>
        </w:rPr>
        <w:t>「新統一的な基準」への移行を行っております。これに伴い、固定資産台帳の作成に基づく、固定資産の表示等を行っています。</w:t>
      </w:r>
    </w:p>
    <w:p w14:paraId="4C9DCF85" w14:textId="77777777" w:rsidR="00C679A3" w:rsidRDefault="00C679A3" w:rsidP="004510CA">
      <w:pPr>
        <w:pStyle w:val="Default"/>
        <w:spacing w:line="340" w:lineRule="exact"/>
        <w:rPr>
          <w:rFonts w:hAnsi="Century"/>
          <w:sz w:val="21"/>
          <w:szCs w:val="21"/>
        </w:rPr>
      </w:pPr>
    </w:p>
    <w:p w14:paraId="5D2EFCE1" w14:textId="77777777" w:rsidR="00C679A3" w:rsidRDefault="00C679A3" w:rsidP="004510CA">
      <w:pPr>
        <w:pStyle w:val="Default"/>
        <w:spacing w:line="340" w:lineRule="exact"/>
        <w:rPr>
          <w:rFonts w:hAnsi="Century"/>
          <w:sz w:val="21"/>
          <w:szCs w:val="21"/>
        </w:rPr>
      </w:pPr>
      <w:r>
        <w:rPr>
          <w:rFonts w:hAnsi="Century" w:hint="eastAsia"/>
          <w:sz w:val="21"/>
          <w:szCs w:val="21"/>
        </w:rPr>
        <w:t>３．重要な後発事象</w:t>
      </w:r>
    </w:p>
    <w:p w14:paraId="6EA81C3A" w14:textId="77777777" w:rsidR="00C679A3" w:rsidRDefault="00C679A3" w:rsidP="004510CA">
      <w:pPr>
        <w:pStyle w:val="Default"/>
        <w:spacing w:line="340" w:lineRule="exact"/>
        <w:rPr>
          <w:rFonts w:hAnsi="Century"/>
          <w:sz w:val="21"/>
          <w:szCs w:val="21"/>
        </w:rPr>
      </w:pPr>
      <w:r>
        <w:rPr>
          <w:rFonts w:hAnsi="Century" w:hint="eastAsia"/>
          <w:sz w:val="21"/>
          <w:szCs w:val="21"/>
        </w:rPr>
        <w:t>（１）主要な業務の改廃</w:t>
      </w:r>
    </w:p>
    <w:p w14:paraId="424FCAC4"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0A22980C" w14:textId="77777777" w:rsidR="00C679A3" w:rsidRDefault="00C679A3" w:rsidP="004510CA">
      <w:pPr>
        <w:pStyle w:val="Default"/>
        <w:spacing w:line="340" w:lineRule="exact"/>
        <w:rPr>
          <w:rFonts w:hAnsi="Century"/>
          <w:sz w:val="21"/>
          <w:szCs w:val="21"/>
        </w:rPr>
      </w:pPr>
    </w:p>
    <w:p w14:paraId="6C2FCBD7" w14:textId="77777777" w:rsidR="00C679A3" w:rsidRDefault="00C679A3" w:rsidP="004510CA">
      <w:pPr>
        <w:pStyle w:val="Default"/>
        <w:spacing w:line="340" w:lineRule="exact"/>
        <w:rPr>
          <w:rFonts w:hAnsi="Century"/>
          <w:sz w:val="21"/>
          <w:szCs w:val="21"/>
        </w:rPr>
      </w:pPr>
      <w:r>
        <w:rPr>
          <w:rFonts w:hAnsi="Century" w:hint="eastAsia"/>
          <w:sz w:val="21"/>
          <w:szCs w:val="21"/>
        </w:rPr>
        <w:t>（２）地方財政制度の大幅な改正</w:t>
      </w:r>
    </w:p>
    <w:p w14:paraId="00ABDBE3"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5C1F52C7" w14:textId="77777777" w:rsidR="00C679A3" w:rsidRDefault="00C679A3" w:rsidP="004510CA">
      <w:pPr>
        <w:pStyle w:val="Default"/>
        <w:spacing w:line="340" w:lineRule="exact"/>
        <w:rPr>
          <w:rFonts w:hAnsi="Century"/>
          <w:sz w:val="21"/>
          <w:szCs w:val="21"/>
        </w:rPr>
      </w:pPr>
    </w:p>
    <w:p w14:paraId="38B788CB" w14:textId="77777777" w:rsidR="00C679A3" w:rsidRDefault="00C679A3" w:rsidP="004510CA">
      <w:pPr>
        <w:pStyle w:val="Default"/>
        <w:spacing w:line="340" w:lineRule="exact"/>
        <w:rPr>
          <w:rFonts w:hAnsi="Century"/>
          <w:sz w:val="21"/>
          <w:szCs w:val="21"/>
        </w:rPr>
      </w:pPr>
      <w:r>
        <w:rPr>
          <w:rFonts w:hAnsi="Century" w:hint="eastAsia"/>
          <w:sz w:val="21"/>
          <w:szCs w:val="21"/>
        </w:rPr>
        <w:t>（３）組織・機構の大幅な変更</w:t>
      </w:r>
    </w:p>
    <w:p w14:paraId="74079348"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61AA328E" w14:textId="77777777" w:rsidR="00C679A3" w:rsidRDefault="00C679A3" w:rsidP="004510CA">
      <w:pPr>
        <w:pStyle w:val="Default"/>
        <w:spacing w:line="340" w:lineRule="exact"/>
        <w:rPr>
          <w:rFonts w:hAnsi="Century"/>
          <w:sz w:val="21"/>
          <w:szCs w:val="21"/>
        </w:rPr>
      </w:pPr>
    </w:p>
    <w:p w14:paraId="59626619" w14:textId="77777777" w:rsidR="00C679A3" w:rsidRDefault="00C679A3" w:rsidP="004510CA">
      <w:pPr>
        <w:pStyle w:val="Default"/>
        <w:spacing w:line="340" w:lineRule="exact"/>
        <w:rPr>
          <w:rFonts w:hAnsi="Century"/>
          <w:sz w:val="21"/>
          <w:szCs w:val="21"/>
        </w:rPr>
      </w:pPr>
      <w:r>
        <w:rPr>
          <w:rFonts w:hAnsi="Century" w:hint="eastAsia"/>
          <w:sz w:val="21"/>
          <w:szCs w:val="21"/>
        </w:rPr>
        <w:t>（４）重大な災害等の発生</w:t>
      </w:r>
    </w:p>
    <w:p w14:paraId="2EF3B83B"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56EF7F88" w14:textId="77777777" w:rsidR="00C679A3" w:rsidRDefault="00C679A3" w:rsidP="004510CA">
      <w:pPr>
        <w:pStyle w:val="Default"/>
        <w:spacing w:line="340" w:lineRule="exact"/>
        <w:ind w:firstLineChars="100" w:firstLine="210"/>
        <w:rPr>
          <w:rFonts w:hAnsi="Century"/>
          <w:sz w:val="21"/>
          <w:szCs w:val="21"/>
        </w:rPr>
      </w:pPr>
    </w:p>
    <w:p w14:paraId="3CFC64EA" w14:textId="77777777" w:rsidR="00C679A3" w:rsidRDefault="00C679A3" w:rsidP="004510CA">
      <w:pPr>
        <w:pStyle w:val="Default"/>
        <w:spacing w:line="340" w:lineRule="exact"/>
        <w:rPr>
          <w:rFonts w:hAnsi="Century"/>
          <w:sz w:val="21"/>
          <w:szCs w:val="21"/>
        </w:rPr>
      </w:pPr>
      <w:r>
        <w:rPr>
          <w:rFonts w:hAnsi="Century" w:hint="eastAsia"/>
          <w:sz w:val="21"/>
          <w:szCs w:val="21"/>
        </w:rPr>
        <w:t>（５）その他重要な後発事象</w:t>
      </w:r>
    </w:p>
    <w:p w14:paraId="6C0ADF9B" w14:textId="3D889FF5" w:rsidR="00C679A3" w:rsidRDefault="00C679A3" w:rsidP="0051264A">
      <w:pPr>
        <w:pStyle w:val="Default"/>
        <w:spacing w:line="340" w:lineRule="exact"/>
        <w:ind w:firstLineChars="100" w:firstLine="210"/>
        <w:rPr>
          <w:rFonts w:hAnsi="Century"/>
          <w:sz w:val="21"/>
          <w:szCs w:val="21"/>
        </w:rPr>
      </w:pPr>
      <w:r>
        <w:rPr>
          <w:rFonts w:hAnsi="Century" w:hint="eastAsia"/>
          <w:sz w:val="21"/>
          <w:szCs w:val="21"/>
        </w:rPr>
        <w:t>特になし</w:t>
      </w:r>
    </w:p>
    <w:p w14:paraId="78312CE0" w14:textId="77777777" w:rsidR="00C679A3" w:rsidRDefault="00C679A3" w:rsidP="004510CA">
      <w:pPr>
        <w:pStyle w:val="Default"/>
        <w:spacing w:line="340" w:lineRule="exact"/>
        <w:rPr>
          <w:rFonts w:hAnsi="Century"/>
          <w:sz w:val="21"/>
          <w:szCs w:val="21"/>
        </w:rPr>
      </w:pPr>
      <w:r>
        <w:rPr>
          <w:rFonts w:hAnsi="Century" w:hint="eastAsia"/>
          <w:sz w:val="21"/>
          <w:szCs w:val="21"/>
        </w:rPr>
        <w:lastRenderedPageBreak/>
        <w:t>４．</w:t>
      </w:r>
      <w:r>
        <w:rPr>
          <w:rFonts w:hAnsi="Century"/>
          <w:sz w:val="21"/>
          <w:szCs w:val="21"/>
        </w:rPr>
        <w:t xml:space="preserve"> </w:t>
      </w:r>
      <w:r>
        <w:rPr>
          <w:rFonts w:hAnsi="Century" w:hint="eastAsia"/>
          <w:sz w:val="21"/>
          <w:szCs w:val="21"/>
        </w:rPr>
        <w:t>偶発債務</w:t>
      </w:r>
    </w:p>
    <w:p w14:paraId="1193790D" w14:textId="77777777" w:rsidR="00C679A3" w:rsidRDefault="00C679A3" w:rsidP="004510CA">
      <w:pPr>
        <w:pStyle w:val="Default"/>
        <w:spacing w:line="340" w:lineRule="exact"/>
        <w:rPr>
          <w:rFonts w:hAnsi="Century"/>
          <w:sz w:val="21"/>
          <w:szCs w:val="21"/>
        </w:rPr>
      </w:pPr>
      <w:r>
        <w:rPr>
          <w:rFonts w:hAnsi="Century" w:hint="eastAsia"/>
          <w:sz w:val="21"/>
          <w:szCs w:val="21"/>
        </w:rPr>
        <w:t>（１）保証債務及び損失補償債務負担の状況</w:t>
      </w:r>
    </w:p>
    <w:p w14:paraId="61979BF2"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104683E9" w14:textId="77777777" w:rsidR="00C679A3" w:rsidRDefault="00C679A3" w:rsidP="004510CA">
      <w:pPr>
        <w:pStyle w:val="Default"/>
        <w:spacing w:line="340" w:lineRule="exact"/>
        <w:rPr>
          <w:rFonts w:hAnsi="Century"/>
          <w:sz w:val="21"/>
          <w:szCs w:val="21"/>
        </w:rPr>
      </w:pPr>
      <w:r>
        <w:rPr>
          <w:rFonts w:hAnsi="Century" w:hint="eastAsia"/>
          <w:sz w:val="21"/>
          <w:szCs w:val="21"/>
        </w:rPr>
        <w:t>（２）係争中の訴訟等で損害賠償等の請求を受けているもの</w:t>
      </w:r>
    </w:p>
    <w:p w14:paraId="7C3F31D2"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1F673DA0" w14:textId="77777777" w:rsidR="00C679A3" w:rsidRDefault="00C679A3" w:rsidP="004510CA">
      <w:pPr>
        <w:pStyle w:val="Default"/>
        <w:spacing w:line="340" w:lineRule="exact"/>
        <w:rPr>
          <w:rFonts w:hAnsi="Century"/>
          <w:sz w:val="21"/>
          <w:szCs w:val="21"/>
        </w:rPr>
      </w:pPr>
      <w:r>
        <w:rPr>
          <w:rFonts w:hAnsi="Century" w:hint="eastAsia"/>
          <w:sz w:val="21"/>
          <w:szCs w:val="21"/>
        </w:rPr>
        <w:t>（３）その他主要な偶発債務</w:t>
      </w:r>
    </w:p>
    <w:p w14:paraId="56B3F22C"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505E7406" w14:textId="77777777" w:rsidR="00C679A3" w:rsidRDefault="00C679A3" w:rsidP="004510CA">
      <w:pPr>
        <w:pStyle w:val="Default"/>
        <w:spacing w:line="340" w:lineRule="exact"/>
        <w:rPr>
          <w:rFonts w:hAnsi="Century"/>
          <w:sz w:val="21"/>
          <w:szCs w:val="21"/>
        </w:rPr>
      </w:pPr>
    </w:p>
    <w:p w14:paraId="5295F58D" w14:textId="77777777" w:rsidR="00C679A3" w:rsidRDefault="00C679A3" w:rsidP="004510CA">
      <w:pPr>
        <w:pStyle w:val="Default"/>
        <w:spacing w:line="340" w:lineRule="exact"/>
        <w:rPr>
          <w:rFonts w:hAnsi="Century"/>
          <w:sz w:val="21"/>
          <w:szCs w:val="21"/>
        </w:rPr>
      </w:pPr>
      <w:r w:rsidRPr="00B55713">
        <w:rPr>
          <w:rFonts w:hAnsi="Century" w:hint="eastAsia"/>
          <w:sz w:val="21"/>
          <w:szCs w:val="21"/>
        </w:rPr>
        <w:t>５．追加情報</w:t>
      </w:r>
    </w:p>
    <w:p w14:paraId="5DFA0739" w14:textId="4BD26CD1" w:rsidR="00C679A3" w:rsidRPr="0084516C" w:rsidRDefault="00C679A3" w:rsidP="0084516C">
      <w:pPr>
        <w:pStyle w:val="Default"/>
        <w:spacing w:after="119" w:line="340" w:lineRule="exact"/>
        <w:ind w:firstLineChars="100" w:firstLine="210"/>
        <w:rPr>
          <w:rFonts w:hAnsi="Century"/>
          <w:sz w:val="21"/>
          <w:szCs w:val="21"/>
        </w:rPr>
      </w:pPr>
      <w:r>
        <w:rPr>
          <w:rFonts w:hAnsi="Century" w:hint="eastAsia"/>
          <w:sz w:val="21"/>
          <w:szCs w:val="21"/>
        </w:rPr>
        <w:t>（１）</w:t>
      </w:r>
      <w:r>
        <w:rPr>
          <w:rFonts w:hAnsi="Century"/>
          <w:sz w:val="21"/>
          <w:szCs w:val="21"/>
        </w:rPr>
        <w:t xml:space="preserve"> </w:t>
      </w:r>
      <w:r>
        <w:rPr>
          <w:rFonts w:hAnsi="Century" w:hint="eastAsia"/>
          <w:sz w:val="21"/>
          <w:szCs w:val="21"/>
        </w:rPr>
        <w:t>対象範囲（対象とする会計名）</w:t>
      </w:r>
    </w:p>
    <w:p w14:paraId="637C3890" w14:textId="77777777" w:rsidR="00112D82" w:rsidRPr="00AA7B75" w:rsidRDefault="00112D82" w:rsidP="00112D82">
      <w:pPr>
        <w:pStyle w:val="Default"/>
        <w:spacing w:after="119" w:line="340" w:lineRule="exact"/>
        <w:ind w:firstLineChars="100" w:firstLine="210"/>
        <w:rPr>
          <w:rFonts w:hAnsi="Century"/>
          <w:sz w:val="21"/>
          <w:szCs w:val="21"/>
          <w:lang w:eastAsia="zh-TW"/>
        </w:rPr>
      </w:pPr>
      <w:bookmarkStart w:id="0" w:name="_Hlk193941782"/>
      <w:r w:rsidRPr="0084516C">
        <w:rPr>
          <w:rFonts w:hAnsi="Century" w:hint="eastAsia"/>
          <w:sz w:val="21"/>
          <w:szCs w:val="21"/>
          <w:lang w:eastAsia="zh-TW"/>
        </w:rPr>
        <w:t>①</w:t>
      </w:r>
      <w:r w:rsidRPr="00AA7B75">
        <w:rPr>
          <w:rFonts w:hAnsi="Century" w:hint="eastAsia"/>
          <w:sz w:val="21"/>
          <w:szCs w:val="21"/>
          <w:lang w:eastAsia="zh-TW"/>
        </w:rPr>
        <w:t>一般会計</w:t>
      </w:r>
      <w:r w:rsidRPr="00AA7B75">
        <w:rPr>
          <w:rFonts w:hAnsi="Century" w:hint="eastAsia"/>
          <w:sz w:val="21"/>
          <w:szCs w:val="21"/>
          <w:lang w:eastAsia="zh-TW"/>
        </w:rPr>
        <w:tab/>
      </w:r>
    </w:p>
    <w:p w14:paraId="2F92D391" w14:textId="3D744E97" w:rsidR="00112D82" w:rsidRPr="00AA7B75" w:rsidRDefault="00112D82" w:rsidP="00112D82">
      <w:pPr>
        <w:pStyle w:val="Default"/>
        <w:spacing w:after="119" w:line="340" w:lineRule="exact"/>
        <w:ind w:firstLineChars="100" w:firstLine="210"/>
        <w:rPr>
          <w:rFonts w:hAnsi="Century"/>
          <w:sz w:val="21"/>
          <w:szCs w:val="21"/>
          <w:lang w:eastAsia="zh-TW"/>
        </w:rPr>
      </w:pPr>
      <w:r>
        <w:rPr>
          <w:rFonts w:hAnsi="Century" w:hint="eastAsia"/>
          <w:sz w:val="21"/>
          <w:szCs w:val="21"/>
          <w:lang w:eastAsia="zh-TW"/>
        </w:rPr>
        <w:t>②</w:t>
      </w:r>
      <w:r w:rsidR="00220719" w:rsidRPr="00220719">
        <w:rPr>
          <w:rFonts w:hAnsi="Century" w:hint="eastAsia"/>
          <w:sz w:val="21"/>
          <w:szCs w:val="21"/>
          <w:lang w:eastAsia="zh-TW"/>
        </w:rPr>
        <w:t>公共用地先行取得事業特別会計</w:t>
      </w:r>
      <w:r w:rsidRPr="00AA7B75">
        <w:rPr>
          <w:rFonts w:hAnsi="Century" w:hint="eastAsia"/>
          <w:sz w:val="21"/>
          <w:szCs w:val="21"/>
          <w:lang w:eastAsia="zh-TW"/>
        </w:rPr>
        <w:tab/>
      </w:r>
    </w:p>
    <w:p w14:paraId="2ECB20B1" w14:textId="105A9728" w:rsidR="00112D82" w:rsidRPr="00AA7B75" w:rsidRDefault="00112D82" w:rsidP="00112D82">
      <w:pPr>
        <w:pStyle w:val="Default"/>
        <w:spacing w:after="119" w:line="340" w:lineRule="exact"/>
        <w:ind w:firstLineChars="100" w:firstLine="210"/>
        <w:rPr>
          <w:rFonts w:hAnsi="Century"/>
          <w:sz w:val="21"/>
          <w:szCs w:val="21"/>
          <w:lang w:eastAsia="zh-TW"/>
        </w:rPr>
      </w:pPr>
      <w:r>
        <w:rPr>
          <w:rFonts w:hAnsi="Century" w:hint="eastAsia"/>
          <w:sz w:val="21"/>
          <w:szCs w:val="21"/>
          <w:lang w:eastAsia="zh-TW"/>
        </w:rPr>
        <w:t>③</w:t>
      </w:r>
      <w:r w:rsidR="00220719" w:rsidRPr="00220719">
        <w:rPr>
          <w:rFonts w:hAnsi="Century" w:hint="eastAsia"/>
          <w:sz w:val="21"/>
          <w:szCs w:val="21"/>
          <w:lang w:eastAsia="zh-TW"/>
        </w:rPr>
        <w:t>国民健康保険特別会計</w:t>
      </w:r>
      <w:r w:rsidRPr="00AA7B75">
        <w:rPr>
          <w:rFonts w:hAnsi="Century" w:hint="eastAsia"/>
          <w:sz w:val="21"/>
          <w:szCs w:val="21"/>
          <w:lang w:eastAsia="zh-TW"/>
        </w:rPr>
        <w:tab/>
      </w:r>
    </w:p>
    <w:p w14:paraId="41B1F6ED" w14:textId="1D4A935C" w:rsidR="00112D82" w:rsidRPr="00AA7B75" w:rsidRDefault="00112D82" w:rsidP="00112D82">
      <w:pPr>
        <w:pStyle w:val="Default"/>
        <w:spacing w:after="119" w:line="340" w:lineRule="exact"/>
        <w:ind w:firstLineChars="100" w:firstLine="210"/>
        <w:rPr>
          <w:rFonts w:hAnsi="Century"/>
          <w:sz w:val="21"/>
          <w:szCs w:val="21"/>
          <w:lang w:eastAsia="zh-TW"/>
        </w:rPr>
      </w:pPr>
      <w:r>
        <w:rPr>
          <w:rFonts w:hAnsi="Century" w:hint="eastAsia"/>
          <w:sz w:val="21"/>
          <w:szCs w:val="21"/>
          <w:lang w:eastAsia="zh-TW"/>
        </w:rPr>
        <w:t>④</w:t>
      </w:r>
      <w:r w:rsidR="00220719" w:rsidRPr="00220719">
        <w:rPr>
          <w:rFonts w:hAnsi="Century" w:hint="eastAsia"/>
          <w:sz w:val="21"/>
          <w:szCs w:val="21"/>
          <w:lang w:eastAsia="zh-TW"/>
        </w:rPr>
        <w:t>下水道事業特別会計</w:t>
      </w:r>
      <w:r w:rsidRPr="00AA7B75">
        <w:rPr>
          <w:rFonts w:hAnsi="Century" w:hint="eastAsia"/>
          <w:sz w:val="21"/>
          <w:szCs w:val="21"/>
          <w:lang w:eastAsia="zh-TW"/>
        </w:rPr>
        <w:tab/>
      </w:r>
    </w:p>
    <w:p w14:paraId="635AA6A8" w14:textId="0CE043D2" w:rsidR="00112D82" w:rsidRPr="00AA7B75" w:rsidRDefault="00112D82" w:rsidP="00112D82">
      <w:pPr>
        <w:pStyle w:val="Default"/>
        <w:spacing w:after="119" w:line="340" w:lineRule="exact"/>
        <w:ind w:firstLineChars="100" w:firstLine="210"/>
        <w:rPr>
          <w:rFonts w:hAnsi="Century"/>
          <w:sz w:val="21"/>
          <w:szCs w:val="21"/>
          <w:lang w:eastAsia="zh-TW"/>
        </w:rPr>
      </w:pPr>
      <w:r>
        <w:rPr>
          <w:rFonts w:hAnsi="Century" w:hint="eastAsia"/>
          <w:sz w:val="21"/>
          <w:szCs w:val="21"/>
          <w:lang w:eastAsia="zh-TW"/>
        </w:rPr>
        <w:t>⑤</w:t>
      </w:r>
      <w:r w:rsidR="00220719" w:rsidRPr="00220719">
        <w:rPr>
          <w:rFonts w:hAnsi="Century" w:hint="eastAsia"/>
          <w:sz w:val="21"/>
          <w:szCs w:val="21"/>
          <w:lang w:eastAsia="zh-TW"/>
        </w:rPr>
        <w:t>介護保険特別会計</w:t>
      </w:r>
      <w:r w:rsidRPr="00AA7B75">
        <w:rPr>
          <w:rFonts w:hAnsi="Century" w:hint="eastAsia"/>
          <w:sz w:val="21"/>
          <w:szCs w:val="21"/>
          <w:lang w:eastAsia="zh-TW"/>
        </w:rPr>
        <w:tab/>
      </w:r>
    </w:p>
    <w:p w14:paraId="27B85C97" w14:textId="2F061BDB" w:rsidR="00112D82" w:rsidRPr="00AA7B75" w:rsidRDefault="00112D82" w:rsidP="00112D82">
      <w:pPr>
        <w:pStyle w:val="Default"/>
        <w:spacing w:after="119" w:line="340" w:lineRule="exact"/>
        <w:ind w:firstLineChars="100" w:firstLine="210"/>
        <w:rPr>
          <w:rFonts w:hAnsi="Century"/>
          <w:sz w:val="21"/>
          <w:szCs w:val="21"/>
          <w:lang w:eastAsia="zh-TW"/>
        </w:rPr>
      </w:pPr>
      <w:r>
        <w:rPr>
          <w:rFonts w:hAnsi="Century" w:hint="eastAsia"/>
          <w:sz w:val="21"/>
          <w:szCs w:val="21"/>
          <w:lang w:eastAsia="zh-TW"/>
        </w:rPr>
        <w:t>⑥</w:t>
      </w:r>
      <w:r w:rsidR="00220719" w:rsidRPr="00220719">
        <w:rPr>
          <w:rFonts w:hAnsi="Century" w:hint="eastAsia"/>
          <w:sz w:val="21"/>
          <w:szCs w:val="21"/>
          <w:lang w:eastAsia="zh-TW"/>
        </w:rPr>
        <w:t>後期高齢者医療特別会計</w:t>
      </w:r>
      <w:r w:rsidRPr="00AA7B75">
        <w:rPr>
          <w:rFonts w:hAnsi="Century" w:hint="eastAsia"/>
          <w:sz w:val="21"/>
          <w:szCs w:val="21"/>
          <w:lang w:eastAsia="zh-TW"/>
        </w:rPr>
        <w:tab/>
      </w:r>
    </w:p>
    <w:p w14:paraId="66C4D35C" w14:textId="0987D704" w:rsidR="00112D82" w:rsidRPr="00AA7B75" w:rsidRDefault="00112D82" w:rsidP="00112D82">
      <w:pPr>
        <w:pStyle w:val="Default"/>
        <w:spacing w:after="119" w:line="340" w:lineRule="exact"/>
        <w:ind w:firstLineChars="100" w:firstLine="210"/>
        <w:rPr>
          <w:rFonts w:hAnsi="Century"/>
          <w:sz w:val="21"/>
          <w:szCs w:val="21"/>
          <w:lang w:eastAsia="zh-TW"/>
        </w:rPr>
      </w:pPr>
      <w:r>
        <w:rPr>
          <w:rFonts w:hAnsi="Century" w:hint="eastAsia"/>
          <w:sz w:val="21"/>
          <w:szCs w:val="21"/>
          <w:lang w:eastAsia="zh-TW"/>
        </w:rPr>
        <w:t>⑦</w:t>
      </w:r>
      <w:r w:rsidR="00220719">
        <w:rPr>
          <w:rFonts w:hAnsi="Century" w:hint="eastAsia"/>
          <w:sz w:val="21"/>
          <w:szCs w:val="21"/>
          <w:lang w:eastAsia="zh-TW"/>
        </w:rPr>
        <w:t>水道事業会計</w:t>
      </w:r>
      <w:r w:rsidRPr="00AA7B75">
        <w:rPr>
          <w:rFonts w:hAnsi="Century" w:hint="eastAsia"/>
          <w:sz w:val="21"/>
          <w:szCs w:val="21"/>
          <w:lang w:eastAsia="zh-TW"/>
        </w:rPr>
        <w:tab/>
      </w:r>
    </w:p>
    <w:p w14:paraId="27ED6DB4" w14:textId="7C4EFCE5" w:rsidR="00112D82" w:rsidRPr="00AA7B75" w:rsidRDefault="00112D82" w:rsidP="00112D82">
      <w:pPr>
        <w:pStyle w:val="Default"/>
        <w:spacing w:after="119" w:line="340" w:lineRule="exact"/>
        <w:ind w:firstLineChars="100" w:firstLine="210"/>
        <w:rPr>
          <w:rFonts w:hAnsi="Century"/>
          <w:sz w:val="21"/>
          <w:szCs w:val="21"/>
          <w:lang w:eastAsia="zh-TW"/>
        </w:rPr>
      </w:pPr>
      <w:r>
        <w:rPr>
          <w:rFonts w:hAnsi="Century" w:hint="eastAsia"/>
          <w:sz w:val="21"/>
          <w:szCs w:val="21"/>
          <w:lang w:eastAsia="zh-TW"/>
        </w:rPr>
        <w:t>⑧</w:t>
      </w:r>
      <w:r w:rsidR="00220719">
        <w:rPr>
          <w:rFonts w:hAnsi="Century" w:hint="eastAsia"/>
          <w:sz w:val="21"/>
          <w:szCs w:val="21"/>
          <w:lang w:eastAsia="zh-TW"/>
        </w:rPr>
        <w:t>下水道事業会計</w:t>
      </w:r>
      <w:r w:rsidRPr="00AA7B75">
        <w:rPr>
          <w:rFonts w:hAnsi="Century" w:hint="eastAsia"/>
          <w:sz w:val="21"/>
          <w:szCs w:val="21"/>
          <w:lang w:eastAsia="zh-TW"/>
        </w:rPr>
        <w:tab/>
      </w:r>
    </w:p>
    <w:bookmarkEnd w:id="0"/>
    <w:p w14:paraId="32DE96EF" w14:textId="77777777" w:rsidR="00112D82" w:rsidRPr="00FB4ABA" w:rsidRDefault="00112D82" w:rsidP="00112D82">
      <w:pPr>
        <w:pStyle w:val="Default"/>
        <w:spacing w:after="119" w:line="340" w:lineRule="exact"/>
        <w:ind w:firstLineChars="100" w:firstLine="210"/>
        <w:rPr>
          <w:rFonts w:hAnsi="Century"/>
          <w:sz w:val="21"/>
          <w:szCs w:val="21"/>
          <w:lang w:eastAsia="zh-TW"/>
        </w:rPr>
      </w:pPr>
    </w:p>
    <w:p w14:paraId="6596561F" w14:textId="77777777" w:rsidR="00C679A3" w:rsidRDefault="00C679A3" w:rsidP="004510CA">
      <w:pPr>
        <w:pStyle w:val="Default"/>
        <w:spacing w:line="340" w:lineRule="exact"/>
        <w:rPr>
          <w:rFonts w:hAnsi="Century"/>
          <w:sz w:val="21"/>
          <w:szCs w:val="21"/>
        </w:rPr>
      </w:pPr>
      <w:r>
        <w:rPr>
          <w:rFonts w:hAnsi="Century" w:hint="eastAsia"/>
          <w:sz w:val="21"/>
          <w:szCs w:val="21"/>
        </w:rPr>
        <w:t>（２）</w:t>
      </w:r>
      <w:r>
        <w:rPr>
          <w:rFonts w:hAnsi="Century"/>
          <w:sz w:val="21"/>
          <w:szCs w:val="21"/>
        </w:rPr>
        <w:t xml:space="preserve"> </w:t>
      </w:r>
      <w:r>
        <w:rPr>
          <w:rFonts w:hAnsi="Century" w:hint="eastAsia"/>
          <w:sz w:val="21"/>
          <w:szCs w:val="21"/>
        </w:rPr>
        <w:t>一般会計等と普通会計の対象範囲等の差異</w:t>
      </w:r>
    </w:p>
    <w:p w14:paraId="5372E1BD"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794B00E0" w14:textId="77777777" w:rsidR="00C679A3" w:rsidRDefault="00C679A3" w:rsidP="004510CA">
      <w:pPr>
        <w:pStyle w:val="Default"/>
        <w:spacing w:line="340" w:lineRule="exact"/>
        <w:rPr>
          <w:rFonts w:hAnsi="Century"/>
          <w:sz w:val="21"/>
          <w:szCs w:val="21"/>
        </w:rPr>
      </w:pPr>
    </w:p>
    <w:p w14:paraId="4D6D7CD2" w14:textId="77777777" w:rsidR="00C679A3" w:rsidRDefault="00C679A3" w:rsidP="004510CA">
      <w:pPr>
        <w:pStyle w:val="Default"/>
        <w:spacing w:line="340" w:lineRule="exac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出納整理期間</w:t>
      </w:r>
    </w:p>
    <w:p w14:paraId="7C5A7068"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財務書類の作成基準日は、会計年度末（</w:t>
      </w:r>
      <w:r>
        <w:rPr>
          <w:rFonts w:ascii="Century" w:hAnsi="Century" w:cs="Century"/>
          <w:sz w:val="21"/>
          <w:szCs w:val="21"/>
        </w:rPr>
        <w:t>3</w:t>
      </w:r>
      <w:r>
        <w:rPr>
          <w:rFonts w:hAnsi="Century" w:hint="eastAsia"/>
          <w:sz w:val="21"/>
          <w:szCs w:val="21"/>
        </w:rPr>
        <w:t>月</w:t>
      </w:r>
      <w:r>
        <w:rPr>
          <w:rFonts w:ascii="Century" w:hAnsi="Century" w:cs="Century"/>
          <w:sz w:val="21"/>
          <w:szCs w:val="21"/>
        </w:rPr>
        <w:t>31</w:t>
      </w:r>
      <w:r>
        <w:rPr>
          <w:rFonts w:hAnsi="Century" w:hint="eastAsia"/>
          <w:sz w:val="21"/>
          <w:szCs w:val="21"/>
        </w:rPr>
        <w:t>日）ですが、出納整理期間中の現金の受払い等を終了した後の計数をもって会計年度末の計数としております。（地方自治法</w:t>
      </w:r>
      <w:r>
        <w:rPr>
          <w:rFonts w:ascii="Century" w:hAnsi="Century" w:cs="Century"/>
          <w:sz w:val="21"/>
          <w:szCs w:val="21"/>
        </w:rPr>
        <w:t xml:space="preserve">235 </w:t>
      </w:r>
      <w:r>
        <w:rPr>
          <w:rFonts w:hAnsi="Century" w:hint="eastAsia"/>
          <w:sz w:val="21"/>
          <w:szCs w:val="21"/>
        </w:rPr>
        <w:t>条の</w:t>
      </w:r>
      <w:r>
        <w:rPr>
          <w:rFonts w:ascii="Century" w:hAnsi="Century" w:cs="Century"/>
          <w:sz w:val="21"/>
          <w:szCs w:val="21"/>
        </w:rPr>
        <w:t>5</w:t>
      </w:r>
      <w:r>
        <w:rPr>
          <w:rFonts w:hAnsi="Century" w:hint="eastAsia"/>
          <w:sz w:val="21"/>
          <w:szCs w:val="21"/>
        </w:rPr>
        <w:t>「普通地方公共団体の出納は、翌年度の</w:t>
      </w:r>
      <w:r>
        <w:rPr>
          <w:rFonts w:ascii="Century" w:hAnsi="Century" w:cs="Century"/>
          <w:sz w:val="21"/>
          <w:szCs w:val="21"/>
        </w:rPr>
        <w:t>5</w:t>
      </w:r>
      <w:r>
        <w:rPr>
          <w:rFonts w:hAnsi="Century" w:hint="eastAsia"/>
          <w:sz w:val="21"/>
          <w:szCs w:val="21"/>
        </w:rPr>
        <w:t>月</w:t>
      </w:r>
      <w:r>
        <w:rPr>
          <w:rFonts w:ascii="Century" w:hAnsi="Century" w:cs="Century"/>
          <w:sz w:val="21"/>
          <w:szCs w:val="21"/>
        </w:rPr>
        <w:t>31</w:t>
      </w:r>
      <w:r>
        <w:rPr>
          <w:rFonts w:hAnsi="Century" w:hint="eastAsia"/>
          <w:sz w:val="21"/>
          <w:szCs w:val="21"/>
        </w:rPr>
        <w:t>日をもって閉鎖する。」）</w:t>
      </w:r>
    </w:p>
    <w:p w14:paraId="633F62FA" w14:textId="77777777" w:rsidR="009D421F" w:rsidRDefault="009D421F" w:rsidP="004510CA">
      <w:pPr>
        <w:pStyle w:val="Default"/>
        <w:spacing w:line="340" w:lineRule="exact"/>
        <w:rPr>
          <w:rFonts w:hAnsi="Century"/>
          <w:sz w:val="21"/>
          <w:szCs w:val="21"/>
        </w:rPr>
      </w:pPr>
    </w:p>
    <w:p w14:paraId="2B02BF42" w14:textId="77777777" w:rsidR="00C679A3" w:rsidRDefault="00C679A3" w:rsidP="004510CA">
      <w:pPr>
        <w:pStyle w:val="Default"/>
        <w:spacing w:line="340" w:lineRule="exac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表示単位未満</w:t>
      </w:r>
    </w:p>
    <w:p w14:paraId="23700B77"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表示単位未満の金額は四捨五入とし、一部合計値と不一致があります。</w:t>
      </w:r>
    </w:p>
    <w:p w14:paraId="1C748875" w14:textId="77777777" w:rsidR="00C679A3" w:rsidRDefault="00C679A3" w:rsidP="004510CA">
      <w:pPr>
        <w:spacing w:line="340" w:lineRule="exact"/>
      </w:pPr>
    </w:p>
    <w:p w14:paraId="3DA3BB22" w14:textId="77777777" w:rsidR="00C679A3" w:rsidRDefault="00C679A3" w:rsidP="004510CA">
      <w:pPr>
        <w:pStyle w:val="Default"/>
        <w:spacing w:line="340" w:lineRule="exact"/>
        <w:rPr>
          <w:sz w:val="21"/>
          <w:szCs w:val="21"/>
        </w:rPr>
      </w:pPr>
      <w:r>
        <w:rPr>
          <w:rFonts w:hint="eastAsia"/>
          <w:sz w:val="21"/>
          <w:szCs w:val="21"/>
        </w:rPr>
        <w:t>（５）売却可能資産に係る資産科目別の金額及びその範囲</w:t>
      </w:r>
    </w:p>
    <w:p w14:paraId="4D4EDDE5" w14:textId="77777777" w:rsidR="00C679A3" w:rsidRDefault="00C679A3" w:rsidP="004510CA">
      <w:pPr>
        <w:pStyle w:val="Default"/>
        <w:spacing w:line="340" w:lineRule="exact"/>
        <w:ind w:firstLineChars="100" w:firstLine="210"/>
        <w:rPr>
          <w:sz w:val="21"/>
          <w:szCs w:val="21"/>
        </w:rPr>
      </w:pPr>
      <w:r>
        <w:rPr>
          <w:rFonts w:hint="eastAsia"/>
          <w:sz w:val="21"/>
          <w:szCs w:val="21"/>
        </w:rPr>
        <w:t>なし</w:t>
      </w:r>
    </w:p>
    <w:p w14:paraId="65A36C29" w14:textId="77777777" w:rsidR="00C679A3" w:rsidRDefault="00C679A3" w:rsidP="004510CA">
      <w:pPr>
        <w:pStyle w:val="Default"/>
        <w:spacing w:line="340" w:lineRule="exact"/>
        <w:rPr>
          <w:sz w:val="21"/>
          <w:szCs w:val="21"/>
        </w:rPr>
      </w:pPr>
    </w:p>
    <w:p w14:paraId="49795628" w14:textId="77777777" w:rsidR="00C679A3" w:rsidRDefault="00C679A3" w:rsidP="004510CA">
      <w:pPr>
        <w:pStyle w:val="Default"/>
        <w:spacing w:line="340" w:lineRule="exact"/>
        <w:rPr>
          <w:sz w:val="21"/>
          <w:szCs w:val="21"/>
        </w:rPr>
      </w:pPr>
      <w:r>
        <w:rPr>
          <w:rFonts w:hint="eastAsia"/>
          <w:sz w:val="21"/>
          <w:szCs w:val="21"/>
        </w:rPr>
        <w:t>（６）減債基金に係る積立不足の有無及び不足額</w:t>
      </w:r>
    </w:p>
    <w:p w14:paraId="2D4FDA78" w14:textId="713934D4" w:rsidR="00C679A3" w:rsidRDefault="00C679A3" w:rsidP="004510CA">
      <w:pPr>
        <w:pStyle w:val="Default"/>
        <w:spacing w:line="340" w:lineRule="exact"/>
        <w:ind w:firstLineChars="100" w:firstLine="210"/>
        <w:rPr>
          <w:sz w:val="21"/>
          <w:szCs w:val="21"/>
        </w:rPr>
      </w:pPr>
      <w:r>
        <w:rPr>
          <w:rFonts w:hint="eastAsia"/>
          <w:sz w:val="21"/>
          <w:szCs w:val="21"/>
        </w:rPr>
        <w:t>なし</w:t>
      </w:r>
    </w:p>
    <w:p w14:paraId="3AAC8A33" w14:textId="77777777" w:rsidR="009D421F" w:rsidRPr="009D421F" w:rsidRDefault="009D421F" w:rsidP="004510CA">
      <w:pPr>
        <w:pStyle w:val="Default"/>
        <w:spacing w:line="340" w:lineRule="exact"/>
        <w:ind w:firstLineChars="100" w:firstLine="210"/>
        <w:rPr>
          <w:sz w:val="21"/>
          <w:szCs w:val="21"/>
        </w:rPr>
      </w:pPr>
    </w:p>
    <w:p w14:paraId="6B7CEB7B" w14:textId="77777777" w:rsidR="00C679A3" w:rsidRDefault="00C679A3" w:rsidP="004510CA">
      <w:pPr>
        <w:pStyle w:val="Default"/>
        <w:spacing w:line="340" w:lineRule="exact"/>
        <w:rPr>
          <w:sz w:val="21"/>
          <w:szCs w:val="21"/>
        </w:rPr>
      </w:pPr>
      <w:r>
        <w:rPr>
          <w:rFonts w:hint="eastAsia"/>
          <w:sz w:val="21"/>
          <w:szCs w:val="21"/>
        </w:rPr>
        <w:t>（７）自治法第２３４条の３に基づく長期継続契約で貸借対照表に計上されたリース</w:t>
      </w:r>
    </w:p>
    <w:p w14:paraId="4D9002DB" w14:textId="531BCAA8" w:rsidR="00547C1F" w:rsidRDefault="00C679A3" w:rsidP="004510CA">
      <w:pPr>
        <w:spacing w:line="340" w:lineRule="exact"/>
        <w:ind w:firstLineChars="200" w:firstLine="420"/>
        <w:rPr>
          <w:szCs w:val="21"/>
        </w:rPr>
      </w:pPr>
      <w:r>
        <w:rPr>
          <w:rFonts w:hint="eastAsia"/>
          <w:szCs w:val="21"/>
        </w:rPr>
        <w:t>債務金額　なし</w:t>
      </w:r>
    </w:p>
    <w:p w14:paraId="0A4E81D0" w14:textId="1260F755" w:rsidR="00C679A3" w:rsidRDefault="00C679A3" w:rsidP="004B71F2">
      <w:pPr>
        <w:widowControl/>
        <w:jc w:val="left"/>
        <w:rPr>
          <w:rFonts w:hint="eastAsia"/>
          <w:szCs w:val="21"/>
        </w:rPr>
      </w:pPr>
    </w:p>
    <w:sectPr w:rsidR="00C679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513E" w14:textId="77777777" w:rsidR="005361D7" w:rsidRDefault="005361D7" w:rsidP="00764F66">
      <w:r>
        <w:separator/>
      </w:r>
    </w:p>
  </w:endnote>
  <w:endnote w:type="continuationSeparator" w:id="0">
    <w:p w14:paraId="674CE4A0" w14:textId="77777777" w:rsidR="005361D7" w:rsidRDefault="005361D7" w:rsidP="0076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A87E" w14:textId="77777777" w:rsidR="005361D7" w:rsidRDefault="005361D7" w:rsidP="00764F66">
      <w:r>
        <w:separator/>
      </w:r>
    </w:p>
  </w:footnote>
  <w:footnote w:type="continuationSeparator" w:id="0">
    <w:p w14:paraId="307F1E1F" w14:textId="77777777" w:rsidR="005361D7" w:rsidRDefault="005361D7" w:rsidP="00764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4D"/>
    <w:rsid w:val="00003E86"/>
    <w:rsid w:val="00061BDC"/>
    <w:rsid w:val="000620B2"/>
    <w:rsid w:val="0006656F"/>
    <w:rsid w:val="00076006"/>
    <w:rsid w:val="00093753"/>
    <w:rsid w:val="00097085"/>
    <w:rsid w:val="000A52C1"/>
    <w:rsid w:val="000C063F"/>
    <w:rsid w:val="000D32B6"/>
    <w:rsid w:val="000F2EA5"/>
    <w:rsid w:val="0010126D"/>
    <w:rsid w:val="00112D82"/>
    <w:rsid w:val="001141A7"/>
    <w:rsid w:val="00132210"/>
    <w:rsid w:val="00155465"/>
    <w:rsid w:val="0016394A"/>
    <w:rsid w:val="00171CCD"/>
    <w:rsid w:val="00195C0B"/>
    <w:rsid w:val="001A7E8C"/>
    <w:rsid w:val="001B2D57"/>
    <w:rsid w:val="001C3E22"/>
    <w:rsid w:val="001D7929"/>
    <w:rsid w:val="001F2352"/>
    <w:rsid w:val="002026BF"/>
    <w:rsid w:val="00204653"/>
    <w:rsid w:val="002059A6"/>
    <w:rsid w:val="00206BAF"/>
    <w:rsid w:val="00220719"/>
    <w:rsid w:val="00263713"/>
    <w:rsid w:val="00263F26"/>
    <w:rsid w:val="00282C59"/>
    <w:rsid w:val="00296083"/>
    <w:rsid w:val="002B2CE7"/>
    <w:rsid w:val="002F110A"/>
    <w:rsid w:val="002F48F9"/>
    <w:rsid w:val="002F6712"/>
    <w:rsid w:val="00302B12"/>
    <w:rsid w:val="00306369"/>
    <w:rsid w:val="00316740"/>
    <w:rsid w:val="00330421"/>
    <w:rsid w:val="00330C27"/>
    <w:rsid w:val="00343E03"/>
    <w:rsid w:val="003554F1"/>
    <w:rsid w:val="00372866"/>
    <w:rsid w:val="00380794"/>
    <w:rsid w:val="003864F5"/>
    <w:rsid w:val="00392415"/>
    <w:rsid w:val="003B3938"/>
    <w:rsid w:val="003B415F"/>
    <w:rsid w:val="003D47D9"/>
    <w:rsid w:val="003E1F0D"/>
    <w:rsid w:val="003E2A66"/>
    <w:rsid w:val="003E4CA6"/>
    <w:rsid w:val="003F742A"/>
    <w:rsid w:val="00413E46"/>
    <w:rsid w:val="00430F07"/>
    <w:rsid w:val="0044733F"/>
    <w:rsid w:val="00450801"/>
    <w:rsid w:val="004510CA"/>
    <w:rsid w:val="00455149"/>
    <w:rsid w:val="00456E0E"/>
    <w:rsid w:val="004625C6"/>
    <w:rsid w:val="0046688A"/>
    <w:rsid w:val="0048435D"/>
    <w:rsid w:val="0049034A"/>
    <w:rsid w:val="004A70C8"/>
    <w:rsid w:val="004B71F2"/>
    <w:rsid w:val="004D15BC"/>
    <w:rsid w:val="00500D64"/>
    <w:rsid w:val="00501EB1"/>
    <w:rsid w:val="0051264A"/>
    <w:rsid w:val="005177E6"/>
    <w:rsid w:val="005256E4"/>
    <w:rsid w:val="005259A3"/>
    <w:rsid w:val="00530FD2"/>
    <w:rsid w:val="005361D7"/>
    <w:rsid w:val="005405F7"/>
    <w:rsid w:val="00547C1F"/>
    <w:rsid w:val="0057374D"/>
    <w:rsid w:val="00577217"/>
    <w:rsid w:val="00582E04"/>
    <w:rsid w:val="005A1C95"/>
    <w:rsid w:val="005A2DF5"/>
    <w:rsid w:val="005C24C1"/>
    <w:rsid w:val="005C65E8"/>
    <w:rsid w:val="005D7FA1"/>
    <w:rsid w:val="005F493B"/>
    <w:rsid w:val="005F7065"/>
    <w:rsid w:val="00614995"/>
    <w:rsid w:val="006224BC"/>
    <w:rsid w:val="00643B67"/>
    <w:rsid w:val="00644724"/>
    <w:rsid w:val="00645F9A"/>
    <w:rsid w:val="006530B7"/>
    <w:rsid w:val="00684C09"/>
    <w:rsid w:val="00684FC3"/>
    <w:rsid w:val="00695CC2"/>
    <w:rsid w:val="006A521E"/>
    <w:rsid w:val="006B177A"/>
    <w:rsid w:val="006B2E62"/>
    <w:rsid w:val="006B65DA"/>
    <w:rsid w:val="006C3633"/>
    <w:rsid w:val="00700DBF"/>
    <w:rsid w:val="0070534A"/>
    <w:rsid w:val="00706631"/>
    <w:rsid w:val="00712BF8"/>
    <w:rsid w:val="00764F66"/>
    <w:rsid w:val="00773C47"/>
    <w:rsid w:val="0078713A"/>
    <w:rsid w:val="0079031E"/>
    <w:rsid w:val="007A108E"/>
    <w:rsid w:val="007A227E"/>
    <w:rsid w:val="007A2DA0"/>
    <w:rsid w:val="007B1A45"/>
    <w:rsid w:val="007F2600"/>
    <w:rsid w:val="0084516C"/>
    <w:rsid w:val="008625EF"/>
    <w:rsid w:val="0087480E"/>
    <w:rsid w:val="008A333F"/>
    <w:rsid w:val="008F2F12"/>
    <w:rsid w:val="00910165"/>
    <w:rsid w:val="0092158F"/>
    <w:rsid w:val="009400AD"/>
    <w:rsid w:val="009443BF"/>
    <w:rsid w:val="00945582"/>
    <w:rsid w:val="00962B82"/>
    <w:rsid w:val="00970D0D"/>
    <w:rsid w:val="009775FC"/>
    <w:rsid w:val="00980E9B"/>
    <w:rsid w:val="009A48D2"/>
    <w:rsid w:val="009B0B2E"/>
    <w:rsid w:val="009C714D"/>
    <w:rsid w:val="009D421F"/>
    <w:rsid w:val="009E74DA"/>
    <w:rsid w:val="009F3D57"/>
    <w:rsid w:val="009F4674"/>
    <w:rsid w:val="00A0405C"/>
    <w:rsid w:val="00A10941"/>
    <w:rsid w:val="00A25DB4"/>
    <w:rsid w:val="00A26003"/>
    <w:rsid w:val="00A40C68"/>
    <w:rsid w:val="00A55D30"/>
    <w:rsid w:val="00A653D9"/>
    <w:rsid w:val="00A65A6C"/>
    <w:rsid w:val="00A70A20"/>
    <w:rsid w:val="00A7371E"/>
    <w:rsid w:val="00A82D0F"/>
    <w:rsid w:val="00A85E3D"/>
    <w:rsid w:val="00A9429B"/>
    <w:rsid w:val="00AA7B75"/>
    <w:rsid w:val="00AD2316"/>
    <w:rsid w:val="00AE4C09"/>
    <w:rsid w:val="00AF6303"/>
    <w:rsid w:val="00B05FAD"/>
    <w:rsid w:val="00B107FC"/>
    <w:rsid w:val="00B23C21"/>
    <w:rsid w:val="00B55713"/>
    <w:rsid w:val="00B7294C"/>
    <w:rsid w:val="00B82657"/>
    <w:rsid w:val="00B82CBF"/>
    <w:rsid w:val="00B87D1F"/>
    <w:rsid w:val="00B92121"/>
    <w:rsid w:val="00BC7193"/>
    <w:rsid w:val="00C3070D"/>
    <w:rsid w:val="00C438D2"/>
    <w:rsid w:val="00C53678"/>
    <w:rsid w:val="00C679A3"/>
    <w:rsid w:val="00C70EBB"/>
    <w:rsid w:val="00C8588A"/>
    <w:rsid w:val="00C86A4F"/>
    <w:rsid w:val="00CB3607"/>
    <w:rsid w:val="00CD06C5"/>
    <w:rsid w:val="00CF49AB"/>
    <w:rsid w:val="00CF6CA7"/>
    <w:rsid w:val="00D104A4"/>
    <w:rsid w:val="00D10ADF"/>
    <w:rsid w:val="00D43A5B"/>
    <w:rsid w:val="00D513DD"/>
    <w:rsid w:val="00D67DD5"/>
    <w:rsid w:val="00D71EE5"/>
    <w:rsid w:val="00D81912"/>
    <w:rsid w:val="00D830FA"/>
    <w:rsid w:val="00DC328E"/>
    <w:rsid w:val="00DF104F"/>
    <w:rsid w:val="00E06EDC"/>
    <w:rsid w:val="00E158B8"/>
    <w:rsid w:val="00E15EAE"/>
    <w:rsid w:val="00E3664B"/>
    <w:rsid w:val="00E55CB6"/>
    <w:rsid w:val="00E91421"/>
    <w:rsid w:val="00E93842"/>
    <w:rsid w:val="00EB7073"/>
    <w:rsid w:val="00ED2522"/>
    <w:rsid w:val="00EE57CC"/>
    <w:rsid w:val="00F100B4"/>
    <w:rsid w:val="00F103BD"/>
    <w:rsid w:val="00F24CAC"/>
    <w:rsid w:val="00F410A6"/>
    <w:rsid w:val="00F47D2E"/>
    <w:rsid w:val="00F52E46"/>
    <w:rsid w:val="00F6579F"/>
    <w:rsid w:val="00F7796F"/>
    <w:rsid w:val="00F81AC1"/>
    <w:rsid w:val="00F829D4"/>
    <w:rsid w:val="00F85B25"/>
    <w:rsid w:val="00F90361"/>
    <w:rsid w:val="00F9280D"/>
    <w:rsid w:val="00FB4ABA"/>
    <w:rsid w:val="00FC00CD"/>
    <w:rsid w:val="00FD0FA2"/>
    <w:rsid w:val="00FD7346"/>
    <w:rsid w:val="00FE5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466D2"/>
  <w15:chartTrackingRefBased/>
  <w15:docId w15:val="{CFEEF5B9-0AA8-4C40-B7C1-76A5EFD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74D"/>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64F66"/>
    <w:pPr>
      <w:tabs>
        <w:tab w:val="center" w:pos="4252"/>
        <w:tab w:val="right" w:pos="8504"/>
      </w:tabs>
      <w:snapToGrid w:val="0"/>
    </w:pPr>
  </w:style>
  <w:style w:type="character" w:customStyle="1" w:styleId="a4">
    <w:name w:val="ヘッダー (文字)"/>
    <w:basedOn w:val="a0"/>
    <w:link w:val="a3"/>
    <w:uiPriority w:val="99"/>
    <w:rsid w:val="00764F66"/>
  </w:style>
  <w:style w:type="paragraph" w:styleId="a5">
    <w:name w:val="footer"/>
    <w:basedOn w:val="a"/>
    <w:link w:val="a6"/>
    <w:uiPriority w:val="99"/>
    <w:unhideWhenUsed/>
    <w:rsid w:val="00764F66"/>
    <w:pPr>
      <w:tabs>
        <w:tab w:val="center" w:pos="4252"/>
        <w:tab w:val="right" w:pos="8504"/>
      </w:tabs>
      <w:snapToGrid w:val="0"/>
    </w:pPr>
  </w:style>
  <w:style w:type="character" w:customStyle="1" w:styleId="a6">
    <w:name w:val="フッター (文字)"/>
    <w:basedOn w:val="a0"/>
    <w:link w:val="a5"/>
    <w:uiPriority w:val="99"/>
    <w:rsid w:val="00764F66"/>
  </w:style>
  <w:style w:type="character" w:styleId="a7">
    <w:name w:val="annotation reference"/>
    <w:basedOn w:val="a0"/>
    <w:uiPriority w:val="99"/>
    <w:semiHidden/>
    <w:unhideWhenUsed/>
    <w:rsid w:val="00547C1F"/>
    <w:rPr>
      <w:sz w:val="18"/>
      <w:szCs w:val="18"/>
    </w:rPr>
  </w:style>
  <w:style w:type="paragraph" w:styleId="a8">
    <w:name w:val="annotation text"/>
    <w:basedOn w:val="a"/>
    <w:link w:val="a9"/>
    <w:uiPriority w:val="99"/>
    <w:semiHidden/>
    <w:unhideWhenUsed/>
    <w:rsid w:val="00547C1F"/>
    <w:pPr>
      <w:jc w:val="left"/>
    </w:pPr>
  </w:style>
  <w:style w:type="character" w:customStyle="1" w:styleId="a9">
    <w:name w:val="コメント文字列 (文字)"/>
    <w:basedOn w:val="a0"/>
    <w:link w:val="a8"/>
    <w:uiPriority w:val="99"/>
    <w:semiHidden/>
    <w:rsid w:val="00547C1F"/>
  </w:style>
  <w:style w:type="paragraph" w:styleId="aa">
    <w:name w:val="annotation subject"/>
    <w:basedOn w:val="a8"/>
    <w:next w:val="a8"/>
    <w:link w:val="ab"/>
    <w:uiPriority w:val="99"/>
    <w:semiHidden/>
    <w:unhideWhenUsed/>
    <w:rsid w:val="00547C1F"/>
    <w:rPr>
      <w:b/>
      <w:bCs/>
    </w:rPr>
  </w:style>
  <w:style w:type="character" w:customStyle="1" w:styleId="ab">
    <w:name w:val="コメント内容 (文字)"/>
    <w:basedOn w:val="a9"/>
    <w:link w:val="aa"/>
    <w:uiPriority w:val="99"/>
    <w:semiHidden/>
    <w:rsid w:val="00547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04429">
      <w:bodyDiv w:val="1"/>
      <w:marLeft w:val="0"/>
      <w:marRight w:val="0"/>
      <w:marTop w:val="0"/>
      <w:marBottom w:val="0"/>
      <w:divBdr>
        <w:top w:val="none" w:sz="0" w:space="0" w:color="auto"/>
        <w:left w:val="none" w:sz="0" w:space="0" w:color="auto"/>
        <w:bottom w:val="none" w:sz="0" w:space="0" w:color="auto"/>
        <w:right w:val="none" w:sz="0" w:space="0" w:color="auto"/>
      </w:divBdr>
    </w:div>
    <w:div w:id="7290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智</dc:creator>
  <cp:keywords/>
  <dc:description/>
  <cp:lastModifiedBy>拓 飯田</cp:lastModifiedBy>
  <cp:revision>2</cp:revision>
  <dcterms:created xsi:type="dcterms:W3CDTF">2025-04-18T04:57:00Z</dcterms:created>
  <dcterms:modified xsi:type="dcterms:W3CDTF">2025-04-18T04:57:00Z</dcterms:modified>
</cp:coreProperties>
</file>