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6B0F" w14:textId="77777777" w:rsidR="00D104F0" w:rsidRDefault="00D22D62" w:rsidP="009A0768">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全体会計</w:t>
      </w:r>
      <w:r w:rsidR="00DB4C32">
        <w:rPr>
          <w:rFonts w:ascii="ＭＳ Ｐゴシック" w:eastAsia="ＭＳ Ｐゴシック" w:hAnsi="ＭＳ Ｐゴシック" w:hint="eastAsia"/>
          <w:sz w:val="32"/>
        </w:rPr>
        <w:t>財務書類における注記</w:t>
      </w:r>
    </w:p>
    <w:p w14:paraId="5A991330" w14:textId="77777777" w:rsidR="006615EC" w:rsidRPr="00697000" w:rsidRDefault="006615EC" w:rsidP="006615EC">
      <w:pPr>
        <w:spacing w:line="120" w:lineRule="auto"/>
        <w:rPr>
          <w:rFonts w:ascii="ＭＳ Ｐゴシック" w:eastAsia="ＭＳ Ｐゴシック" w:hAnsi="ＭＳ Ｐゴシック"/>
        </w:rPr>
      </w:pPr>
    </w:p>
    <w:p w14:paraId="3D81F221"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3D329FB9" w14:textId="77777777" w:rsidR="006615EC" w:rsidRPr="00697000" w:rsidRDefault="006615EC" w:rsidP="006615EC">
      <w:pPr>
        <w:spacing w:line="120" w:lineRule="auto"/>
        <w:rPr>
          <w:rFonts w:ascii="ＭＳ Ｐゴシック" w:eastAsia="ＭＳ Ｐゴシック" w:hAnsi="ＭＳ Ｐゴシック"/>
        </w:rPr>
      </w:pPr>
    </w:p>
    <w:p w14:paraId="5A265DD6"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0CEACE96"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2703FCED"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F0ADEE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3F16E0DF"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6BBD9C62"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4253F7B"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401307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3CAD3CD1"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5D02F3DE"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5552729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703477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33D8E7E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2344B287"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1D81AE53" w14:textId="77777777" w:rsidR="00DB68B4" w:rsidRPr="00697000" w:rsidRDefault="00DB68B4" w:rsidP="006615EC">
      <w:pPr>
        <w:spacing w:line="120" w:lineRule="auto"/>
        <w:rPr>
          <w:rFonts w:ascii="ＭＳ Ｐゴシック" w:eastAsia="ＭＳ Ｐゴシック" w:hAnsi="ＭＳ Ｐゴシック"/>
        </w:rPr>
      </w:pPr>
    </w:p>
    <w:p w14:paraId="1309725C"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6C74DC7B"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A3B493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2F7426B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15FEC1C8"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695CD41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29409C2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EB2F69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22AB76DF"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26FC0555"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2D6549D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21CDE31E" w14:textId="77777777" w:rsidR="006615EC" w:rsidRDefault="00DA2BB4" w:rsidP="00A62D46">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728EC9F7"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6AE7014A" w14:textId="77777777" w:rsidR="00DB68B4" w:rsidRPr="00DA2BB4" w:rsidRDefault="00DB68B4" w:rsidP="006615EC">
      <w:pPr>
        <w:spacing w:line="120" w:lineRule="auto"/>
        <w:rPr>
          <w:rFonts w:ascii="ＭＳ Ｐゴシック" w:eastAsia="ＭＳ Ｐゴシック" w:hAnsi="ＭＳ Ｐゴシック"/>
          <w:sz w:val="22"/>
        </w:rPr>
      </w:pPr>
    </w:p>
    <w:p w14:paraId="3B2957C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3C18B2A0"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1A89755A"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2667AD47"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726F3D6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092A21C"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0461C6FF"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361BC84E"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62E01D7E"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AD85DB7"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69900161"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5491E684"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7C452E97"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0519527E"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377E5429"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046F7F11"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46A5E4E"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3FB0B9D7"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79D64F55"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2DAE751A"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18CF3ECA"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61A884C7"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18FAA561" w14:textId="77777777" w:rsidR="00997EC1" w:rsidRPr="00997EC1" w:rsidRDefault="006B534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2A740F8"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457455EA" w14:textId="1B48446C" w:rsidR="00DB68B4" w:rsidRDefault="00DB68B4" w:rsidP="007C3BFE">
      <w:pPr>
        <w:spacing w:line="120" w:lineRule="auto"/>
        <w:ind w:firstLineChars="200" w:firstLine="440"/>
        <w:rPr>
          <w:rFonts w:ascii="ＭＳ Ｐゴシック" w:eastAsia="ＭＳ Ｐゴシック" w:hAnsi="ＭＳ Ｐゴシック"/>
          <w:sz w:val="22"/>
        </w:rPr>
      </w:pPr>
    </w:p>
    <w:p w14:paraId="3E75A03A" w14:textId="77777777" w:rsidR="00AD169C" w:rsidRPr="00DF64CC" w:rsidRDefault="00AD169C" w:rsidP="007C3BFE">
      <w:pPr>
        <w:spacing w:line="120" w:lineRule="auto"/>
        <w:ind w:firstLineChars="200" w:firstLine="440"/>
        <w:rPr>
          <w:rFonts w:ascii="ＭＳ Ｐゴシック" w:eastAsia="ＭＳ Ｐゴシック" w:hAnsi="ＭＳ Ｐゴシック"/>
          <w:sz w:val="22"/>
        </w:rPr>
      </w:pPr>
    </w:p>
    <w:p w14:paraId="1B10DA76"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70999C48"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500D77EE"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2FBED661"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473316D0" w14:textId="77777777" w:rsidR="006615EC"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0DFEFFA9" w14:textId="77777777" w:rsidR="008B7770" w:rsidRDefault="008B7770" w:rsidP="0000309E">
      <w:pPr>
        <w:ind w:firstLineChars="200" w:firstLine="440"/>
        <w:rPr>
          <w:rFonts w:ascii="ＭＳ Ｐゴシック" w:eastAsia="ＭＳ Ｐゴシック" w:hAnsi="ＭＳ Ｐゴシック"/>
          <w:sz w:val="22"/>
        </w:rPr>
      </w:pPr>
    </w:p>
    <w:p w14:paraId="0AA29E8F" w14:textId="77777777" w:rsidR="008B7770" w:rsidRDefault="008B7770" w:rsidP="0000309E">
      <w:pPr>
        <w:ind w:firstLineChars="200" w:firstLine="440"/>
        <w:rPr>
          <w:rFonts w:ascii="ＭＳ Ｐゴシック" w:eastAsia="ＭＳ Ｐゴシック" w:hAnsi="ＭＳ Ｐゴシック"/>
          <w:sz w:val="22"/>
        </w:rPr>
      </w:pPr>
    </w:p>
    <w:p w14:paraId="1BA99537"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3CE1A79"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781120">
        <w:rPr>
          <w:rFonts w:ascii="ＭＳ Ｐゴシック" w:eastAsia="ＭＳ Ｐゴシック" w:hAnsi="ＭＳ Ｐゴシック" w:hint="eastAsia"/>
          <w:sz w:val="22"/>
        </w:rPr>
        <w:t>をいいます。</w:t>
      </w:r>
    </w:p>
    <w:p w14:paraId="24DA7657"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r w:rsidR="00DB4C32">
        <w:rPr>
          <w:rFonts w:ascii="ＭＳ Ｐゴシック" w:eastAsia="ＭＳ Ｐゴシック" w:hAnsi="ＭＳ Ｐゴシック" w:hint="eastAsia"/>
          <w:sz w:val="22"/>
        </w:rPr>
        <w:t>但し、水道事業会計は出納整理期間を含みません。</w:t>
      </w:r>
    </w:p>
    <w:p w14:paraId="6BFAAE09" w14:textId="77777777" w:rsidR="00DB68B4" w:rsidRDefault="00DB68B4" w:rsidP="0000309E">
      <w:pPr>
        <w:rPr>
          <w:rFonts w:ascii="ＭＳ Ｐゴシック" w:eastAsia="ＭＳ Ｐゴシック" w:hAnsi="ＭＳ Ｐゴシック"/>
          <w:sz w:val="22"/>
        </w:rPr>
      </w:pPr>
    </w:p>
    <w:p w14:paraId="0AF38596" w14:textId="77777777" w:rsidR="009B24AE" w:rsidRDefault="009B24AE" w:rsidP="0000309E">
      <w:pPr>
        <w:rPr>
          <w:rFonts w:ascii="ＭＳ Ｐゴシック" w:eastAsia="ＭＳ Ｐゴシック" w:hAnsi="ＭＳ Ｐゴシック"/>
          <w:sz w:val="22"/>
        </w:rPr>
      </w:pPr>
    </w:p>
    <w:p w14:paraId="3B5877C7" w14:textId="77777777" w:rsidR="000A3E22" w:rsidRDefault="000A3E22" w:rsidP="0000309E">
      <w:pPr>
        <w:rPr>
          <w:rFonts w:ascii="ＭＳ Ｐゴシック" w:eastAsia="ＭＳ Ｐゴシック" w:hAnsi="ＭＳ Ｐゴシック"/>
          <w:sz w:val="22"/>
        </w:rPr>
      </w:pPr>
    </w:p>
    <w:p w14:paraId="4BF7CE2E"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7CADA016" w14:textId="77777777" w:rsidR="00DB68B4" w:rsidRPr="00DB68B4" w:rsidRDefault="00DB68B4" w:rsidP="0000309E">
      <w:pPr>
        <w:rPr>
          <w:rFonts w:ascii="ＭＳ Ｐゴシック" w:eastAsia="ＭＳ Ｐゴシック" w:hAnsi="ＭＳ Ｐゴシック"/>
          <w:sz w:val="22"/>
        </w:rPr>
      </w:pPr>
    </w:p>
    <w:p w14:paraId="2BE362FB" w14:textId="6524C7E2" w:rsidR="0000309E" w:rsidRPr="0000309E" w:rsidRDefault="0000309E" w:rsidP="0000309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会計方針の変更</w:t>
      </w:r>
    </w:p>
    <w:p w14:paraId="4D58FBBE" w14:textId="77777777" w:rsidR="0000309E" w:rsidRPr="0000309E" w:rsidRDefault="009B24AE" w:rsidP="00DB68B4">
      <w:pPr>
        <w:ind w:leftChars="150" w:left="31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9BE8994" w14:textId="77777777" w:rsidR="00DB68B4" w:rsidRDefault="00DB68B4" w:rsidP="0000309E">
      <w:pPr>
        <w:ind w:firstLineChars="100" w:firstLine="220"/>
        <w:rPr>
          <w:rFonts w:ascii="ＭＳ Ｐゴシック" w:eastAsia="ＭＳ Ｐゴシック" w:hAnsi="ＭＳ Ｐゴシック"/>
          <w:sz w:val="22"/>
        </w:rPr>
      </w:pPr>
    </w:p>
    <w:p w14:paraId="4DB0DFA3" w14:textId="77777777" w:rsidR="0000309E" w:rsidRPr="0000309E" w:rsidRDefault="0000309E" w:rsidP="0000309E">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表示方法の変更</w:t>
      </w:r>
    </w:p>
    <w:p w14:paraId="15804722" w14:textId="77777777" w:rsidR="00DB68B4" w:rsidRDefault="009B24AE" w:rsidP="00DB68B4">
      <w:pPr>
        <w:ind w:leftChars="200" w:left="42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7535B1CC" w14:textId="77777777" w:rsidR="00DB68B4" w:rsidRDefault="00DB68B4" w:rsidP="001501C2">
      <w:pPr>
        <w:rPr>
          <w:rFonts w:ascii="ＭＳ Ｐゴシック" w:eastAsia="ＭＳ Ｐゴシック" w:hAnsi="ＭＳ Ｐゴシック"/>
          <w:sz w:val="22"/>
        </w:rPr>
      </w:pPr>
    </w:p>
    <w:p w14:paraId="27F2E622" w14:textId="77777777" w:rsidR="009B24AE" w:rsidRDefault="0000309E" w:rsidP="00AB76DF">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⑶</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資金収支計算書における資金の範囲の変更</w:t>
      </w:r>
    </w:p>
    <w:p w14:paraId="2C73661E" w14:textId="77777777" w:rsidR="0000309E" w:rsidRDefault="009B24AE" w:rsidP="009B24AE">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221567A" w14:textId="77777777" w:rsidR="00DB68B4" w:rsidRDefault="00DB68B4" w:rsidP="00DB68B4">
      <w:pPr>
        <w:ind w:left="220" w:hangingChars="100" w:hanging="220"/>
        <w:rPr>
          <w:rFonts w:ascii="ＭＳ Ｐゴシック" w:eastAsia="ＭＳ Ｐゴシック" w:hAnsi="ＭＳ Ｐゴシック"/>
          <w:sz w:val="22"/>
        </w:rPr>
      </w:pPr>
    </w:p>
    <w:p w14:paraId="33FF6E66" w14:textId="77777777" w:rsidR="00216888" w:rsidRDefault="00216888" w:rsidP="00DB68B4">
      <w:pPr>
        <w:ind w:left="220" w:hangingChars="100" w:hanging="220"/>
        <w:rPr>
          <w:rFonts w:ascii="ＭＳ Ｐゴシック" w:eastAsia="ＭＳ Ｐゴシック" w:hAnsi="ＭＳ Ｐゴシック"/>
          <w:sz w:val="22"/>
        </w:rPr>
      </w:pPr>
    </w:p>
    <w:p w14:paraId="693AFDFE" w14:textId="77777777" w:rsidR="00216888" w:rsidRPr="008F7861" w:rsidRDefault="00DB68B4" w:rsidP="00216888">
      <w:pPr>
        <w:ind w:left="220" w:hangingChars="100" w:hanging="220"/>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3 </w:t>
      </w:r>
      <w:r>
        <w:rPr>
          <w:rFonts w:ascii="ＭＳ Ｐゴシック" w:eastAsia="ＭＳ Ｐゴシック" w:hAnsi="ＭＳ Ｐゴシック" w:hint="eastAsia"/>
          <w:sz w:val="22"/>
        </w:rPr>
        <w:t xml:space="preserve"> </w:t>
      </w:r>
      <w:r w:rsidRPr="008F7861">
        <w:rPr>
          <w:rFonts w:ascii="ＭＳ Ｐゴシック" w:eastAsia="ＭＳ Ｐゴシック" w:hAnsi="ＭＳ Ｐゴシック" w:hint="eastAsia"/>
          <w:sz w:val="22"/>
        </w:rPr>
        <w:t>重要な後発事象</w:t>
      </w:r>
    </w:p>
    <w:p w14:paraId="172EE94B" w14:textId="77777777" w:rsidR="00216888" w:rsidRPr="008F7861" w:rsidRDefault="00216888" w:rsidP="00216888">
      <w:pPr>
        <w:ind w:left="220" w:hangingChars="100" w:hanging="220"/>
        <w:rPr>
          <w:rFonts w:ascii="ＭＳ Ｐゴシック" w:eastAsia="ＭＳ Ｐゴシック" w:hAnsi="ＭＳ Ｐゴシック"/>
          <w:sz w:val="22"/>
        </w:rPr>
      </w:pPr>
    </w:p>
    <w:p w14:paraId="7DB8AAEC" w14:textId="77777777" w:rsidR="00DB68B4" w:rsidRPr="008F7861" w:rsidRDefault="00DB68B4" w:rsidP="00216888">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⑴</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主要な業務の改廃</w:t>
      </w:r>
    </w:p>
    <w:p w14:paraId="30822748" w14:textId="77777777" w:rsidR="00DB68B4" w:rsidRPr="008F7861" w:rsidRDefault="00216888" w:rsidP="00216888">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0C29BF44" w14:textId="77777777" w:rsidR="00DB68B4" w:rsidRPr="008F7861" w:rsidRDefault="00DB68B4" w:rsidP="001501C2">
      <w:pPr>
        <w:rPr>
          <w:rFonts w:ascii="ＭＳ Ｐゴシック" w:eastAsia="ＭＳ Ｐゴシック" w:hAnsi="ＭＳ Ｐゴシック"/>
          <w:sz w:val="22"/>
        </w:rPr>
      </w:pPr>
    </w:p>
    <w:p w14:paraId="389B3978" w14:textId="77777777" w:rsidR="00DB68B4" w:rsidRPr="008F7861" w:rsidRDefault="00DB68B4" w:rsidP="00DB68B4">
      <w:pPr>
        <w:ind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⑵</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組織・機構の大幅な変更</w:t>
      </w:r>
    </w:p>
    <w:p w14:paraId="35F8790D" w14:textId="77777777" w:rsidR="00DB68B4" w:rsidRPr="008F7861" w:rsidRDefault="00216888" w:rsidP="00DB68B4">
      <w:pPr>
        <w:ind w:leftChars="100" w:left="210" w:firstLineChars="200" w:firstLine="44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848B401" w14:textId="77777777" w:rsidR="00DB68B4" w:rsidRPr="008F7861" w:rsidRDefault="00DB68B4" w:rsidP="001501C2">
      <w:pPr>
        <w:rPr>
          <w:rFonts w:ascii="ＭＳ Ｐゴシック" w:eastAsia="ＭＳ Ｐゴシック" w:hAnsi="ＭＳ Ｐゴシック"/>
          <w:sz w:val="22"/>
        </w:rPr>
      </w:pPr>
    </w:p>
    <w:p w14:paraId="382E3A65"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⑶</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地方財政制度の大幅な改正</w:t>
      </w:r>
    </w:p>
    <w:p w14:paraId="6082F8BA" w14:textId="77777777" w:rsidR="00DB68B4" w:rsidRPr="008F7861" w:rsidRDefault="00216888" w:rsidP="00B32CF3">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B8CCEB7" w14:textId="77777777" w:rsidR="00DB68B4" w:rsidRPr="008F7861" w:rsidRDefault="00DB68B4" w:rsidP="001501C2">
      <w:pPr>
        <w:rPr>
          <w:rFonts w:ascii="ＭＳ Ｐゴシック" w:eastAsia="ＭＳ Ｐゴシック" w:hAnsi="ＭＳ Ｐゴシック"/>
          <w:sz w:val="22"/>
        </w:rPr>
      </w:pPr>
    </w:p>
    <w:p w14:paraId="03E2FF7A"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⑷</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重大な災害等の発生</w:t>
      </w:r>
    </w:p>
    <w:p w14:paraId="04EB3DB3" w14:textId="77777777" w:rsidR="002F5454" w:rsidRPr="00DB68B4" w:rsidRDefault="002F5454" w:rsidP="002F5454">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366F9941" w14:textId="3F3AB7D0" w:rsidR="00CC6A58" w:rsidRPr="00B16548" w:rsidRDefault="00CC6A58" w:rsidP="00CC6A58">
      <w:pPr>
        <w:ind w:leftChars="300" w:left="630"/>
        <w:rPr>
          <w:rFonts w:ascii="ＭＳ Ｐゴシック" w:eastAsia="ＭＳ Ｐゴシック" w:hAnsi="ＭＳ Ｐゴシック"/>
          <w:sz w:val="22"/>
        </w:rPr>
      </w:pPr>
    </w:p>
    <w:p w14:paraId="118E3B24" w14:textId="77777777" w:rsidR="00DB68B4" w:rsidRPr="00CC6A58" w:rsidRDefault="00DB68B4" w:rsidP="00DB68B4">
      <w:pPr>
        <w:rPr>
          <w:rFonts w:ascii="ＭＳ Ｐゴシック" w:eastAsia="ＭＳ Ｐゴシック" w:hAnsi="ＭＳ Ｐゴシック"/>
          <w:sz w:val="22"/>
        </w:rPr>
      </w:pPr>
    </w:p>
    <w:p w14:paraId="187F86A8" w14:textId="77777777" w:rsidR="00DB68B4" w:rsidRDefault="00DB68B4" w:rsidP="00DB68B4">
      <w:pPr>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4 </w:t>
      </w:r>
      <w:r>
        <w:rPr>
          <w:rFonts w:ascii="ＭＳ Ｐゴシック" w:eastAsia="ＭＳ Ｐゴシック" w:hAnsi="ＭＳ Ｐゴシック" w:hint="eastAsia"/>
          <w:sz w:val="22"/>
        </w:rPr>
        <w:t xml:space="preserve"> </w:t>
      </w:r>
      <w:r w:rsidRPr="00DB68B4">
        <w:rPr>
          <w:rFonts w:ascii="ＭＳ Ｐゴシック" w:eastAsia="ＭＳ Ｐゴシック" w:hAnsi="ＭＳ Ｐゴシック" w:hint="eastAsia"/>
          <w:sz w:val="22"/>
        </w:rPr>
        <w:t>偶発債務</w:t>
      </w:r>
    </w:p>
    <w:p w14:paraId="6F5DA5CF" w14:textId="77777777" w:rsidR="00DB68B4" w:rsidRDefault="00DB68B4" w:rsidP="00DB68B4">
      <w:pPr>
        <w:rPr>
          <w:rFonts w:ascii="ＭＳ Ｐゴシック" w:eastAsia="ＭＳ Ｐゴシック" w:hAnsi="ＭＳ Ｐゴシック"/>
          <w:sz w:val="22"/>
        </w:rPr>
      </w:pPr>
    </w:p>
    <w:p w14:paraId="76AEDAAD" w14:textId="77777777" w:rsidR="00B32CF3" w:rsidRDefault="00DB68B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11D3E" w:rsidRPr="00D11D3E">
        <w:rPr>
          <w:rFonts w:ascii="ＭＳ Ｐゴシック" w:eastAsia="ＭＳ Ｐゴシック" w:hAnsi="ＭＳ Ｐゴシック" w:hint="eastAsia"/>
          <w:sz w:val="22"/>
        </w:rPr>
        <w:t>⑴</w:t>
      </w:r>
      <w:r w:rsidR="00D11D3E" w:rsidRPr="00D11D3E">
        <w:rPr>
          <w:rFonts w:ascii="ＭＳ Ｐゴシック" w:eastAsia="ＭＳ Ｐゴシック" w:hAnsi="ＭＳ Ｐゴシック"/>
          <w:sz w:val="22"/>
        </w:rPr>
        <w:t xml:space="preserve"> </w:t>
      </w:r>
      <w:r w:rsidR="00D11D3E" w:rsidRPr="00D11D3E">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D00CF8" w:rsidRPr="0031388E" w14:paraId="7BF08C20" w14:textId="77777777" w:rsidTr="00F4740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080F04"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34E326"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6CFAE259"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CA5D5A"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416C2AA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C096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D00CF8" w:rsidRPr="0031388E" w14:paraId="6DDD9259" w14:textId="77777777" w:rsidTr="00F4740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63CA953" w14:textId="77777777" w:rsidR="00D00CF8" w:rsidRPr="0031388E" w:rsidRDefault="00D00CF8" w:rsidP="00F47408">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038BF2C" w14:textId="77777777" w:rsidR="00D00CF8" w:rsidRPr="0031388E" w:rsidRDefault="00D00CF8" w:rsidP="00F47408">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AFC03"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72D0D6"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3BC2821A"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5E98D" w14:textId="77777777" w:rsidR="00D00CF8" w:rsidRPr="0031388E" w:rsidRDefault="00D00CF8" w:rsidP="00F47408">
            <w:pPr>
              <w:rPr>
                <w:rFonts w:ascii="ＭＳ Ｐゴシック" w:eastAsia="ＭＳ Ｐゴシック" w:hAnsi="ＭＳ Ｐゴシック"/>
                <w:sz w:val="20"/>
              </w:rPr>
            </w:pPr>
          </w:p>
        </w:tc>
      </w:tr>
      <w:tr w:rsidR="00D00CF8" w:rsidRPr="0031388E" w14:paraId="6BA304C8" w14:textId="77777777" w:rsidTr="00F47408">
        <w:trPr>
          <w:trHeight w:val="182"/>
        </w:trPr>
        <w:tc>
          <w:tcPr>
            <w:tcW w:w="2802" w:type="dxa"/>
            <w:tcBorders>
              <w:top w:val="single" w:sz="4" w:space="0" w:color="auto"/>
              <w:left w:val="single" w:sz="4" w:space="0" w:color="auto"/>
              <w:bottom w:val="single" w:sz="4" w:space="0" w:color="auto"/>
              <w:right w:val="single" w:sz="4" w:space="0" w:color="auto"/>
            </w:tcBorders>
            <w:hideMark/>
          </w:tcPr>
          <w:p w14:paraId="68444F26"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1F9D5786"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723366A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38F6E120" w14:textId="5A2D07E3" w:rsidR="00D00CF8" w:rsidRPr="0031388E" w:rsidRDefault="00280FD4"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4,346,288</w:t>
            </w:r>
            <w:r w:rsidR="00575F1B"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72276037" w14:textId="453E6CA8" w:rsidR="00D00CF8" w:rsidRPr="0031388E" w:rsidRDefault="00280FD4"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4,346,288</w:t>
            </w:r>
            <w:r w:rsidR="00575F1B" w:rsidRPr="0031388E">
              <w:rPr>
                <w:rFonts w:ascii="ＭＳ Ｐゴシック" w:eastAsia="ＭＳ Ｐゴシック" w:hAnsi="ＭＳ Ｐゴシック" w:hint="eastAsia"/>
                <w:sz w:val="22"/>
              </w:rPr>
              <w:t>千円</w:t>
            </w:r>
          </w:p>
        </w:tc>
      </w:tr>
      <w:tr w:rsidR="00D00CF8" w:rsidRPr="0031388E" w14:paraId="6B9A27FA" w14:textId="77777777" w:rsidTr="00F4740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C66E3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7FDAAD" w14:textId="5C0ED080" w:rsidR="00D00CF8" w:rsidRPr="0031388E" w:rsidRDefault="002F5454"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F4E162"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7751D5" w14:textId="307C7486" w:rsidR="00D00CF8" w:rsidRPr="0031388E" w:rsidRDefault="00280FD4"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4,346,288</w:t>
            </w:r>
            <w:r w:rsidR="002F5454"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8B1B10" w14:textId="53A970FF" w:rsidR="00D00CF8" w:rsidRPr="0031388E" w:rsidRDefault="00280FD4"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4,346,288</w:t>
            </w:r>
            <w:r w:rsidR="002F5454" w:rsidRPr="0031388E">
              <w:rPr>
                <w:rFonts w:ascii="ＭＳ Ｐゴシック" w:eastAsia="ＭＳ Ｐゴシック" w:hAnsi="ＭＳ Ｐゴシック" w:hint="eastAsia"/>
                <w:sz w:val="22"/>
              </w:rPr>
              <w:t>千円</w:t>
            </w:r>
          </w:p>
        </w:tc>
      </w:tr>
    </w:tbl>
    <w:p w14:paraId="13FC82A1" w14:textId="77777777" w:rsidR="00216888" w:rsidRPr="00216888" w:rsidRDefault="00216888">
      <w:pPr>
        <w:rPr>
          <w:rFonts w:ascii="ＭＳ Ｐゴシック" w:eastAsia="ＭＳ Ｐゴシック" w:hAnsi="ＭＳ Ｐゴシック"/>
          <w:sz w:val="22"/>
        </w:rPr>
      </w:pPr>
    </w:p>
    <w:p w14:paraId="592C280A"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8F7861">
        <w:rPr>
          <w:rFonts w:ascii="ＭＳ Ｐゴシック" w:eastAsia="ＭＳ Ｐゴシック" w:hAnsi="ＭＳ Ｐゴシック" w:hint="eastAsia"/>
          <w:sz w:val="22"/>
        </w:rPr>
        <w:t>係争中の訴訟等</w:t>
      </w:r>
    </w:p>
    <w:p w14:paraId="0E08E166" w14:textId="77777777" w:rsidR="00D00CF8" w:rsidRPr="0031388E" w:rsidRDefault="00D00CF8" w:rsidP="00D00CF8">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05BBD0C3" w14:textId="77777777" w:rsidR="00216888" w:rsidRDefault="00216888" w:rsidP="00B32CF3">
      <w:pPr>
        <w:rPr>
          <w:rFonts w:ascii="ＭＳ Ｐゴシック" w:eastAsia="ＭＳ Ｐゴシック" w:hAnsi="ＭＳ Ｐゴシック"/>
          <w:sz w:val="22"/>
        </w:rPr>
      </w:pPr>
    </w:p>
    <w:p w14:paraId="11447FFE" w14:textId="77777777" w:rsidR="00DD26E4" w:rsidRDefault="00DD26E4">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BEEDAC4"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654B3A1D" w14:textId="77777777" w:rsidR="00B32CF3" w:rsidRDefault="00B32CF3" w:rsidP="00B32CF3">
      <w:pPr>
        <w:rPr>
          <w:rFonts w:ascii="ＭＳ Ｐゴシック" w:eastAsia="ＭＳ Ｐゴシック" w:hAnsi="ＭＳ Ｐゴシック"/>
          <w:sz w:val="22"/>
        </w:rPr>
      </w:pPr>
    </w:p>
    <w:p w14:paraId="12014B1F" w14:textId="77777777" w:rsidR="00B32CF3" w:rsidRPr="00B32CF3" w:rsidRDefault="00B32CF3" w:rsidP="00B32CF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sz w:val="22"/>
        </w:rPr>
        <w:t xml:space="preserve"> </w:t>
      </w:r>
      <w:r w:rsidRPr="00B32CF3">
        <w:rPr>
          <w:rFonts w:ascii="ＭＳ Ｐゴシック" w:eastAsia="ＭＳ Ｐゴシック" w:hAnsi="ＭＳ Ｐゴシック" w:hint="eastAsia"/>
          <w:sz w:val="22"/>
        </w:rPr>
        <w:t>財務書類の内容を理解するために必要と認められる事項</w:t>
      </w:r>
    </w:p>
    <w:p w14:paraId="56AB9CE8" w14:textId="77777777" w:rsidR="00B32CF3" w:rsidRPr="00B32CF3" w:rsidRDefault="00B32CF3" w:rsidP="00B32CF3">
      <w:pPr>
        <w:ind w:firstLineChars="200" w:firstLine="440"/>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00D22D62">
        <w:rPr>
          <w:rFonts w:ascii="ＭＳ Ｐゴシック" w:eastAsia="ＭＳ Ｐゴシック" w:hAnsi="ＭＳ Ｐゴシック" w:hint="eastAsia"/>
          <w:sz w:val="22"/>
        </w:rPr>
        <w:t>全体会計</w:t>
      </w:r>
      <w:r w:rsidRPr="00B32CF3">
        <w:rPr>
          <w:rFonts w:ascii="ＭＳ Ｐゴシック" w:eastAsia="ＭＳ Ｐゴシック" w:hAnsi="ＭＳ Ｐゴシック" w:hint="eastAsia"/>
          <w:sz w:val="22"/>
        </w:rPr>
        <w:t>財務書類の対象範囲は次のとおりです。</w:t>
      </w:r>
    </w:p>
    <w:p w14:paraId="10AF5669" w14:textId="77777777" w:rsidR="00D00CF8" w:rsidRPr="00F6441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3192C3BA" w14:textId="77777777" w:rsidR="00D00CF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666B7848"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国民健康保険特別会計</w:t>
      </w:r>
    </w:p>
    <w:p w14:paraId="43F2477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下水道事業特別会計</w:t>
      </w:r>
    </w:p>
    <w:p w14:paraId="40AC438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介護保険特別会計</w:t>
      </w:r>
    </w:p>
    <w:p w14:paraId="2BA7345D" w14:textId="77777777" w:rsidR="00D00CF8" w:rsidRPr="00F6441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後期高齢者医療特別会計</w:t>
      </w:r>
    </w:p>
    <w:p w14:paraId="48908E9B" w14:textId="77777777" w:rsidR="006B5345" w:rsidRPr="006B5345" w:rsidRDefault="006B5345" w:rsidP="006B5345">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水道事業特別会計</w:t>
      </w:r>
    </w:p>
    <w:p w14:paraId="6CBB9A56" w14:textId="77777777" w:rsidR="00DB4C32" w:rsidRDefault="00DB4C32" w:rsidP="00B32CF3">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※水道事業会計は税抜経理による合算をしています。</w:t>
      </w:r>
    </w:p>
    <w:p w14:paraId="741CC0C3"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0E1BEBDC"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60340381" w14:textId="77777777" w:rsidR="00B32CF3" w:rsidRDefault="00DB4C32"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Pr>
          <w:rFonts w:ascii="ＭＳ Ｐゴシック" w:eastAsia="ＭＳ Ｐゴシック" w:hAnsi="ＭＳ Ｐゴシック" w:hint="eastAsia"/>
          <w:sz w:val="22"/>
        </w:rPr>
        <w:t>利子補給等に係る債務負担行為の翌年度</w:t>
      </w:r>
      <w:r w:rsidR="00B32CF3" w:rsidRPr="00B32CF3">
        <w:rPr>
          <w:rFonts w:ascii="ＭＳ Ｐゴシック" w:eastAsia="ＭＳ Ｐゴシック" w:hAnsi="ＭＳ Ｐゴシック" w:hint="eastAsia"/>
          <w:sz w:val="22"/>
        </w:rPr>
        <w:t xml:space="preserve">の支出予定額 </w:t>
      </w:r>
    </w:p>
    <w:p w14:paraId="467748A0" w14:textId="77777777" w:rsidR="006B5345" w:rsidRPr="00B32CF3" w:rsidRDefault="006B5345"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該当なし</w:t>
      </w:r>
    </w:p>
    <w:p w14:paraId="6929F704" w14:textId="77777777" w:rsidR="00570833" w:rsidRDefault="00DB4C32" w:rsidP="00570833">
      <w:pPr>
        <w:ind w:firstLineChars="200" w:firstLine="440"/>
        <w:rPr>
          <w:rFonts w:ascii="ＭＳ Ｐゴシック" w:eastAsia="ＭＳ Ｐゴシック" w:hAnsi="ＭＳ Ｐゴシック"/>
          <w:sz w:val="22"/>
        </w:rPr>
      </w:pPr>
      <w:r w:rsidRPr="000F1AB9">
        <w:rPr>
          <w:rFonts w:ascii="ＭＳ Ｐゴシック" w:eastAsia="ＭＳ Ｐゴシック" w:hAnsi="ＭＳ Ｐゴシック" w:hint="eastAsia"/>
          <w:sz w:val="22"/>
        </w:rPr>
        <w:t>⑤</w:t>
      </w:r>
      <w:r w:rsidR="00570833" w:rsidRPr="000F1AB9">
        <w:rPr>
          <w:rFonts w:ascii="ＭＳ Ｐゴシック" w:eastAsia="ＭＳ Ｐゴシック" w:hAnsi="ＭＳ Ｐゴシック" w:hint="eastAsia"/>
          <w:sz w:val="22"/>
        </w:rPr>
        <w:t xml:space="preserve"> </w:t>
      </w:r>
      <w:r w:rsidR="00B32CF3" w:rsidRPr="000F1AB9">
        <w:rPr>
          <w:rFonts w:ascii="ＭＳ Ｐゴシック" w:eastAsia="ＭＳ Ｐゴシック" w:hAnsi="ＭＳ Ｐゴシック" w:hint="eastAsia"/>
          <w:sz w:val="22"/>
        </w:rPr>
        <w:t xml:space="preserve"> 繰越事業に係る将来の支出予定額</w:t>
      </w:r>
    </w:p>
    <w:tbl>
      <w:tblPr>
        <w:tblStyle w:val="aa"/>
        <w:tblW w:w="96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4760"/>
        <w:gridCol w:w="1076"/>
        <w:gridCol w:w="1808"/>
      </w:tblGrid>
      <w:tr w:rsidR="00B34544" w:rsidRPr="00687205" w14:paraId="5CC85CD9" w14:textId="77777777" w:rsidTr="00D00CF8">
        <w:trPr>
          <w:trHeight w:val="324"/>
        </w:trPr>
        <w:tc>
          <w:tcPr>
            <w:tcW w:w="2063" w:type="dxa"/>
          </w:tcPr>
          <w:p w14:paraId="09F64CF1" w14:textId="315C9FEA"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8F27006" w14:textId="5CD4AAD9" w:rsidR="00B34544" w:rsidRPr="00687205"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社会福祉総務費</w:t>
            </w:r>
          </w:p>
        </w:tc>
        <w:tc>
          <w:tcPr>
            <w:tcW w:w="1036" w:type="dxa"/>
          </w:tcPr>
          <w:p w14:paraId="17C0720B" w14:textId="71C37023" w:rsidR="00B34544" w:rsidRPr="00687205"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32,716</w:t>
            </w:r>
          </w:p>
        </w:tc>
        <w:tc>
          <w:tcPr>
            <w:tcW w:w="1811" w:type="dxa"/>
            <w:vAlign w:val="center"/>
          </w:tcPr>
          <w:p w14:paraId="4CE3DDFF" w14:textId="4E4AAB9B"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697225BD" w14:textId="77777777" w:rsidTr="00D00CF8">
        <w:trPr>
          <w:trHeight w:val="314"/>
        </w:trPr>
        <w:tc>
          <w:tcPr>
            <w:tcW w:w="2063" w:type="dxa"/>
          </w:tcPr>
          <w:p w14:paraId="0D9EC92D" w14:textId="00BD0234"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1F987CBF" w14:textId="19C7F853" w:rsidR="00B34544" w:rsidRPr="00687205"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児童福祉総務費</w:t>
            </w:r>
          </w:p>
        </w:tc>
        <w:tc>
          <w:tcPr>
            <w:tcW w:w="1036" w:type="dxa"/>
          </w:tcPr>
          <w:p w14:paraId="37F6641C" w14:textId="16E89D48" w:rsidR="00B34544" w:rsidRPr="00687205"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87,200</w:t>
            </w:r>
          </w:p>
        </w:tc>
        <w:tc>
          <w:tcPr>
            <w:tcW w:w="1811" w:type="dxa"/>
            <w:vAlign w:val="center"/>
          </w:tcPr>
          <w:p w14:paraId="026B4CE9" w14:textId="4F2E93D4"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46B99F67" w14:textId="77777777" w:rsidTr="00D00CF8">
        <w:trPr>
          <w:trHeight w:val="314"/>
        </w:trPr>
        <w:tc>
          <w:tcPr>
            <w:tcW w:w="2063" w:type="dxa"/>
          </w:tcPr>
          <w:p w14:paraId="5B1EAC1C" w14:textId="5442FBFD"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2BDA6F5" w14:textId="68F0A4B6" w:rsidR="00B34544" w:rsidRPr="00687205"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予防費</w:t>
            </w:r>
          </w:p>
        </w:tc>
        <w:tc>
          <w:tcPr>
            <w:tcW w:w="1036" w:type="dxa"/>
          </w:tcPr>
          <w:p w14:paraId="00BAD75B" w14:textId="5832865D" w:rsidR="00B34544" w:rsidRPr="00687205"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35,210</w:t>
            </w:r>
          </w:p>
        </w:tc>
        <w:tc>
          <w:tcPr>
            <w:tcW w:w="1811" w:type="dxa"/>
            <w:vAlign w:val="center"/>
          </w:tcPr>
          <w:p w14:paraId="1AE46313" w14:textId="75CA75B9"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7DB48BDA" w14:textId="77777777" w:rsidTr="00D00CF8">
        <w:trPr>
          <w:trHeight w:val="324"/>
        </w:trPr>
        <w:tc>
          <w:tcPr>
            <w:tcW w:w="2063" w:type="dxa"/>
          </w:tcPr>
          <w:p w14:paraId="5A250D0B" w14:textId="429AEC91"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5A724040" w14:textId="56CCFD8A" w:rsidR="00B34544" w:rsidRPr="00687205"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保健事業振興</w:t>
            </w:r>
          </w:p>
        </w:tc>
        <w:tc>
          <w:tcPr>
            <w:tcW w:w="1036" w:type="dxa"/>
          </w:tcPr>
          <w:p w14:paraId="6C17CE9C" w14:textId="3433AEF4" w:rsidR="00B34544" w:rsidRPr="00687205"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1,293</w:t>
            </w:r>
          </w:p>
        </w:tc>
        <w:tc>
          <w:tcPr>
            <w:tcW w:w="1811" w:type="dxa"/>
            <w:vAlign w:val="center"/>
          </w:tcPr>
          <w:p w14:paraId="685E1E12" w14:textId="46852F9E"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4EC65137" w14:textId="77777777" w:rsidTr="00D00CF8">
        <w:trPr>
          <w:trHeight w:val="324"/>
        </w:trPr>
        <w:tc>
          <w:tcPr>
            <w:tcW w:w="2063" w:type="dxa"/>
          </w:tcPr>
          <w:p w14:paraId="126618F1" w14:textId="24BB7E14"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71D79B02" w14:textId="0C36C3A9" w:rsidR="00B34544" w:rsidRPr="00687205"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農地費</w:t>
            </w:r>
          </w:p>
        </w:tc>
        <w:tc>
          <w:tcPr>
            <w:tcW w:w="1036" w:type="dxa"/>
          </w:tcPr>
          <w:p w14:paraId="7762842C" w14:textId="200937FA" w:rsidR="00B34544" w:rsidRPr="00687205"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7,205</w:t>
            </w:r>
          </w:p>
        </w:tc>
        <w:tc>
          <w:tcPr>
            <w:tcW w:w="1811" w:type="dxa"/>
            <w:vAlign w:val="center"/>
          </w:tcPr>
          <w:p w14:paraId="19759448" w14:textId="6FD9FE72"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744C0C85" w14:textId="77777777" w:rsidTr="00D00CF8">
        <w:trPr>
          <w:trHeight w:val="324"/>
        </w:trPr>
        <w:tc>
          <w:tcPr>
            <w:tcW w:w="2063" w:type="dxa"/>
          </w:tcPr>
          <w:p w14:paraId="29269AA0" w14:textId="304ED49D"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906B854" w14:textId="276A3571" w:rsidR="00B34544" w:rsidRPr="00687205"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道路維持費</w:t>
            </w:r>
          </w:p>
        </w:tc>
        <w:tc>
          <w:tcPr>
            <w:tcW w:w="1036" w:type="dxa"/>
          </w:tcPr>
          <w:p w14:paraId="21DA3DF1" w14:textId="42CB9453" w:rsidR="00B34544" w:rsidRPr="00687205"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19,995</w:t>
            </w:r>
          </w:p>
        </w:tc>
        <w:tc>
          <w:tcPr>
            <w:tcW w:w="1811" w:type="dxa"/>
            <w:vAlign w:val="center"/>
          </w:tcPr>
          <w:p w14:paraId="4C870EB5" w14:textId="5F816D5D"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7F759DD5" w14:textId="77777777" w:rsidTr="00D00CF8">
        <w:trPr>
          <w:trHeight w:val="324"/>
        </w:trPr>
        <w:tc>
          <w:tcPr>
            <w:tcW w:w="2063" w:type="dxa"/>
          </w:tcPr>
          <w:p w14:paraId="24893132" w14:textId="4EE0D6DA" w:rsidR="00B34544" w:rsidRPr="00687205"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3E310DC7" w14:textId="52D2F955" w:rsidR="00B34544"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浸水対策費</w:t>
            </w:r>
          </w:p>
        </w:tc>
        <w:tc>
          <w:tcPr>
            <w:tcW w:w="1036" w:type="dxa"/>
          </w:tcPr>
          <w:p w14:paraId="7AEA511F" w14:textId="509F9E9A" w:rsidR="00B34544"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100,000.</w:t>
            </w:r>
          </w:p>
        </w:tc>
        <w:tc>
          <w:tcPr>
            <w:tcW w:w="1811" w:type="dxa"/>
            <w:vAlign w:val="center"/>
          </w:tcPr>
          <w:p w14:paraId="0A371D8F" w14:textId="52D534E7" w:rsidR="00B34544" w:rsidRPr="00687205"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4D05800A" w14:textId="77777777" w:rsidTr="00D00CF8">
        <w:trPr>
          <w:trHeight w:val="324"/>
        </w:trPr>
        <w:tc>
          <w:tcPr>
            <w:tcW w:w="2063" w:type="dxa"/>
          </w:tcPr>
          <w:p w14:paraId="5E34FEFF" w14:textId="4354D93A" w:rsidR="00B34544" w:rsidRPr="00905DDD"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322757FA" w14:textId="0D88DCDD" w:rsidR="00B34544" w:rsidRPr="00905DDD"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都市計画総務費</w:t>
            </w:r>
          </w:p>
        </w:tc>
        <w:tc>
          <w:tcPr>
            <w:tcW w:w="1036" w:type="dxa"/>
          </w:tcPr>
          <w:p w14:paraId="2A66D568" w14:textId="16681702" w:rsidR="00B34544" w:rsidRPr="00905DDD"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36,480</w:t>
            </w:r>
          </w:p>
        </w:tc>
        <w:tc>
          <w:tcPr>
            <w:tcW w:w="1811" w:type="dxa"/>
            <w:vAlign w:val="center"/>
          </w:tcPr>
          <w:p w14:paraId="4615CA7A" w14:textId="75DED2EE" w:rsidR="00B34544" w:rsidRPr="00905DDD"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4544" w:rsidRPr="00687205" w14:paraId="676B0B1B" w14:textId="77777777" w:rsidTr="00D00CF8">
        <w:trPr>
          <w:trHeight w:val="324"/>
        </w:trPr>
        <w:tc>
          <w:tcPr>
            <w:tcW w:w="2063" w:type="dxa"/>
          </w:tcPr>
          <w:p w14:paraId="670DD1AD" w14:textId="70B0C80E" w:rsidR="00B34544" w:rsidRPr="00905DDD" w:rsidRDefault="00B34544" w:rsidP="00B34544">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1831D615" w14:textId="62F8BCDD" w:rsidR="00B34544" w:rsidRPr="00905DDD" w:rsidRDefault="00B34544" w:rsidP="00B34544">
            <w:pPr>
              <w:rPr>
                <w:rFonts w:ascii="ＭＳ Ｐゴシック" w:eastAsia="ＭＳ Ｐゴシック" w:hAnsi="ＭＳ Ｐゴシック"/>
                <w:sz w:val="22"/>
              </w:rPr>
            </w:pPr>
            <w:r>
              <w:rPr>
                <w:rFonts w:ascii="ＭＳ Ｐゴシック" w:eastAsia="ＭＳ Ｐゴシック" w:hAnsi="ＭＳ Ｐゴシック" w:hint="eastAsia"/>
                <w:sz w:val="22"/>
              </w:rPr>
              <w:t>街路事業費</w:t>
            </w:r>
          </w:p>
        </w:tc>
        <w:tc>
          <w:tcPr>
            <w:tcW w:w="1036" w:type="dxa"/>
          </w:tcPr>
          <w:p w14:paraId="4AEE9D40" w14:textId="6B419F0F" w:rsidR="00B34544" w:rsidRPr="00905DDD" w:rsidRDefault="00B34544" w:rsidP="00B3454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212,687</w:t>
            </w:r>
          </w:p>
        </w:tc>
        <w:tc>
          <w:tcPr>
            <w:tcW w:w="1811" w:type="dxa"/>
            <w:vAlign w:val="center"/>
          </w:tcPr>
          <w:p w14:paraId="3F136DE0" w14:textId="7C0C9CC2" w:rsidR="00B34544" w:rsidRPr="00905DDD" w:rsidRDefault="00B34544" w:rsidP="00B34544">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075196" w:rsidRPr="00687205" w14:paraId="2E1942E4" w14:textId="77777777" w:rsidTr="00D00CF8">
        <w:trPr>
          <w:trHeight w:val="324"/>
        </w:trPr>
        <w:tc>
          <w:tcPr>
            <w:tcW w:w="2063" w:type="dxa"/>
          </w:tcPr>
          <w:p w14:paraId="029089E4" w14:textId="0AE6B59E" w:rsidR="00075196" w:rsidRPr="00687205" w:rsidRDefault="00075196" w:rsidP="0007519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7E06A8B2" w14:textId="4FD21AAE" w:rsidR="00075196" w:rsidRDefault="00075196" w:rsidP="00075196">
            <w:pPr>
              <w:rPr>
                <w:rFonts w:ascii="ＭＳ Ｐゴシック" w:eastAsia="ＭＳ Ｐゴシック" w:hAnsi="ＭＳ Ｐゴシック"/>
                <w:sz w:val="22"/>
              </w:rPr>
            </w:pPr>
            <w:r>
              <w:rPr>
                <w:rFonts w:ascii="ＭＳ Ｐゴシック" w:eastAsia="ＭＳ Ｐゴシック" w:hAnsi="ＭＳ Ｐゴシック" w:hint="eastAsia"/>
                <w:sz w:val="22"/>
              </w:rPr>
              <w:t>土地区画整理費</w:t>
            </w:r>
          </w:p>
        </w:tc>
        <w:tc>
          <w:tcPr>
            <w:tcW w:w="1036" w:type="dxa"/>
          </w:tcPr>
          <w:p w14:paraId="6082AFB2" w14:textId="4C13E2A2" w:rsidR="00075196" w:rsidRDefault="00075196" w:rsidP="000751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1,346,934</w:t>
            </w:r>
          </w:p>
        </w:tc>
        <w:tc>
          <w:tcPr>
            <w:tcW w:w="1811" w:type="dxa"/>
            <w:vAlign w:val="center"/>
          </w:tcPr>
          <w:p w14:paraId="109B3A53" w14:textId="708BD03E" w:rsidR="00075196" w:rsidRPr="00687205" w:rsidRDefault="00075196" w:rsidP="0007519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075196" w:rsidRPr="00687205" w14:paraId="37EC1CDB" w14:textId="77777777" w:rsidTr="00D00CF8">
        <w:trPr>
          <w:trHeight w:val="324"/>
        </w:trPr>
        <w:tc>
          <w:tcPr>
            <w:tcW w:w="2063" w:type="dxa"/>
          </w:tcPr>
          <w:p w14:paraId="3E2C59A7" w14:textId="06325327" w:rsidR="00075196" w:rsidRPr="00905DDD" w:rsidRDefault="00075196" w:rsidP="0007519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46784372" w14:textId="2476484B" w:rsidR="00075196" w:rsidRDefault="00075196" w:rsidP="00075196">
            <w:pPr>
              <w:rPr>
                <w:rFonts w:ascii="ＭＳ Ｐゴシック" w:eastAsia="ＭＳ Ｐゴシック" w:hAnsi="ＭＳ Ｐゴシック"/>
                <w:sz w:val="22"/>
              </w:rPr>
            </w:pPr>
            <w:r>
              <w:rPr>
                <w:rFonts w:ascii="ＭＳ Ｐゴシック" w:eastAsia="ＭＳ Ｐゴシック" w:hAnsi="ＭＳ Ｐゴシック" w:hint="eastAsia"/>
                <w:sz w:val="22"/>
              </w:rPr>
              <w:t>事務局費</w:t>
            </w:r>
          </w:p>
        </w:tc>
        <w:tc>
          <w:tcPr>
            <w:tcW w:w="1036" w:type="dxa"/>
          </w:tcPr>
          <w:p w14:paraId="0EC035D9" w14:textId="31D0E5B5" w:rsidR="00075196" w:rsidRDefault="00075196" w:rsidP="000751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6,671</w:t>
            </w:r>
          </w:p>
        </w:tc>
        <w:tc>
          <w:tcPr>
            <w:tcW w:w="1811" w:type="dxa"/>
            <w:vAlign w:val="center"/>
          </w:tcPr>
          <w:p w14:paraId="7EDE799B" w14:textId="19B96F20" w:rsidR="00075196" w:rsidRPr="00905DDD" w:rsidRDefault="00075196" w:rsidP="0007519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075196" w:rsidRPr="00687205" w14:paraId="255FC6D0" w14:textId="77777777" w:rsidTr="00D00CF8">
        <w:trPr>
          <w:trHeight w:val="324"/>
        </w:trPr>
        <w:tc>
          <w:tcPr>
            <w:tcW w:w="2063" w:type="dxa"/>
          </w:tcPr>
          <w:p w14:paraId="0619BA5A" w14:textId="750A5305" w:rsidR="00075196" w:rsidRPr="00905DDD" w:rsidRDefault="00075196" w:rsidP="0007519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87" w:type="dxa"/>
          </w:tcPr>
          <w:p w14:paraId="240EB091" w14:textId="66CCAC27" w:rsidR="00075196" w:rsidRDefault="00075196" w:rsidP="00075196">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学校管理費</w:t>
            </w:r>
          </w:p>
        </w:tc>
        <w:tc>
          <w:tcPr>
            <w:tcW w:w="1036" w:type="dxa"/>
          </w:tcPr>
          <w:p w14:paraId="6298620C" w14:textId="60FAC5F8" w:rsidR="00075196" w:rsidRDefault="00075196" w:rsidP="000751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w:t>
            </w:r>
          </w:p>
        </w:tc>
        <w:tc>
          <w:tcPr>
            <w:tcW w:w="1811" w:type="dxa"/>
            <w:vAlign w:val="center"/>
          </w:tcPr>
          <w:p w14:paraId="0AF6491E" w14:textId="2E932A6F" w:rsidR="00075196" w:rsidRPr="00905DDD" w:rsidRDefault="00075196" w:rsidP="0007519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1095F7C2" w14:textId="77777777" w:rsidR="00570833" w:rsidRDefault="00570833" w:rsidP="00570833">
      <w:pPr>
        <w:rPr>
          <w:rFonts w:ascii="ＭＳ Ｐゴシック" w:eastAsia="ＭＳ Ｐゴシック" w:hAnsi="ＭＳ Ｐゴシック"/>
          <w:sz w:val="22"/>
        </w:rPr>
      </w:pPr>
    </w:p>
    <w:p w14:paraId="644E84FF" w14:textId="77777777" w:rsidR="00575F1B" w:rsidRDefault="00575F1B" w:rsidP="00570833">
      <w:pPr>
        <w:rPr>
          <w:rFonts w:ascii="ＭＳ Ｐゴシック" w:eastAsia="ＭＳ Ｐゴシック" w:hAnsi="ＭＳ Ｐゴシック"/>
          <w:sz w:val="22"/>
        </w:rPr>
      </w:pPr>
    </w:p>
    <w:p w14:paraId="33511B54" w14:textId="77777777" w:rsidR="00570833" w:rsidRDefault="00570833" w:rsidP="007A4D06">
      <w:pPr>
        <w:ind w:firstLineChars="100" w:firstLine="22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⑵</w:t>
      </w:r>
      <w:r w:rsidRPr="0057083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貸借対照表に係る事項</w:t>
      </w:r>
    </w:p>
    <w:p w14:paraId="4992468C" w14:textId="4A959C7E" w:rsidR="00570833" w:rsidRDefault="007A4D06"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570833" w:rsidRPr="00570833">
        <w:rPr>
          <w:rFonts w:ascii="ＭＳ Ｐゴシック" w:eastAsia="ＭＳ Ｐゴシック" w:hAnsi="ＭＳ Ｐゴシック" w:hint="eastAsia"/>
          <w:sz w:val="22"/>
        </w:rPr>
        <w:t xml:space="preserve"> </w:t>
      </w:r>
      <w:r w:rsidR="009F0E66" w:rsidRPr="008F7861">
        <w:rPr>
          <w:rFonts w:ascii="ＭＳ Ｐゴシック" w:eastAsia="ＭＳ Ｐゴシック" w:hAnsi="ＭＳ Ｐゴシック" w:hint="eastAsia"/>
          <w:sz w:val="22"/>
        </w:rPr>
        <w:t>売却可能資産の範囲及び内訳</w:t>
      </w:r>
    </w:p>
    <w:p w14:paraId="0BA94B52" w14:textId="77777777" w:rsidR="00D00CF8" w:rsidRPr="00F836E4" w:rsidRDefault="00D00CF8" w:rsidP="00D00CF8">
      <w:pPr>
        <w:ind w:firstLineChars="300" w:firstLine="66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ア 　範囲</w:t>
      </w:r>
    </w:p>
    <w:p w14:paraId="78BB2FD3" w14:textId="454F5CC6" w:rsidR="00D00CF8" w:rsidRPr="00570833" w:rsidRDefault="00934340" w:rsidP="00D00CF8">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令和元</w:t>
      </w:r>
      <w:r w:rsidRPr="00901828">
        <w:rPr>
          <w:rFonts w:ascii="ＭＳ Ｐゴシック" w:eastAsia="ＭＳ Ｐゴシック" w:hAnsi="ＭＳ Ｐゴシック" w:hint="eastAsia"/>
          <w:sz w:val="22"/>
        </w:rPr>
        <w:t>年度</w:t>
      </w:r>
      <w:r w:rsidR="00D00CF8" w:rsidRPr="00901828">
        <w:rPr>
          <w:rFonts w:ascii="ＭＳ Ｐゴシック" w:eastAsia="ＭＳ Ｐゴシック" w:hAnsi="ＭＳ Ｐゴシック" w:hint="eastAsia"/>
          <w:sz w:val="22"/>
        </w:rPr>
        <w:t>予算において、財産収入として措置されている公共資産</w:t>
      </w:r>
    </w:p>
    <w:p w14:paraId="4026A3D8" w14:textId="77777777" w:rsidR="00D00CF8" w:rsidRDefault="00D00CF8" w:rsidP="00D00CF8">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内訳</w:t>
      </w:r>
      <w:r>
        <w:rPr>
          <w:rFonts w:ascii="ＭＳ Ｐゴシック" w:eastAsia="ＭＳ Ｐゴシック" w:hAnsi="ＭＳ Ｐゴシック" w:hint="eastAsia"/>
          <w:sz w:val="22"/>
        </w:rPr>
        <w:t xml:space="preserve">　　　</w:t>
      </w:r>
    </w:p>
    <w:p w14:paraId="2568686B" w14:textId="77777777" w:rsidR="00575F1B" w:rsidRDefault="00575F1B" w:rsidP="00D00CF8">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2017"/>
        <w:gridCol w:w="1842"/>
        <w:gridCol w:w="801"/>
        <w:gridCol w:w="4180"/>
      </w:tblGrid>
      <w:tr w:rsidR="00575F1B" w:rsidRPr="00EF1C66" w14:paraId="46F2913F" w14:textId="77777777" w:rsidTr="008230D3">
        <w:trPr>
          <w:trHeight w:val="377"/>
        </w:trPr>
        <w:tc>
          <w:tcPr>
            <w:tcW w:w="2071" w:type="dxa"/>
            <w:vAlign w:val="center"/>
            <w:hideMark/>
          </w:tcPr>
          <w:p w14:paraId="317A8745" w14:textId="77777777" w:rsidR="00575F1B" w:rsidRPr="00EF1C66" w:rsidRDefault="00575F1B" w:rsidP="00700E55">
            <w:pPr>
              <w:ind w:firstLineChars="350" w:firstLine="77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科目</w:t>
            </w:r>
          </w:p>
        </w:tc>
        <w:tc>
          <w:tcPr>
            <w:tcW w:w="2668" w:type="dxa"/>
            <w:gridSpan w:val="2"/>
            <w:vAlign w:val="center"/>
            <w:hideMark/>
          </w:tcPr>
          <w:p w14:paraId="44A436F6" w14:textId="77777777" w:rsidR="00575F1B" w:rsidRPr="00EF1C66" w:rsidRDefault="00575F1B" w:rsidP="00700E55">
            <w:pPr>
              <w:ind w:firstLineChars="450" w:firstLine="99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金額</w:t>
            </w:r>
          </w:p>
        </w:tc>
        <w:tc>
          <w:tcPr>
            <w:tcW w:w="4322" w:type="dxa"/>
            <w:vAlign w:val="center"/>
            <w:hideMark/>
          </w:tcPr>
          <w:p w14:paraId="6ADD4D7C" w14:textId="77777777" w:rsidR="00575F1B" w:rsidRPr="00EF1C66" w:rsidRDefault="00575F1B" w:rsidP="00700E55">
            <w:pPr>
              <w:ind w:firstLineChars="750" w:firstLine="165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評価方法</w:t>
            </w:r>
          </w:p>
        </w:tc>
      </w:tr>
      <w:tr w:rsidR="00280FD4" w:rsidRPr="00EF1C66" w14:paraId="727BF1E1" w14:textId="77777777" w:rsidTr="008230D3">
        <w:trPr>
          <w:trHeight w:val="427"/>
        </w:trPr>
        <w:tc>
          <w:tcPr>
            <w:tcW w:w="2071" w:type="dxa"/>
            <w:hideMark/>
          </w:tcPr>
          <w:p w14:paraId="62BAF9D2" w14:textId="3C111F1B" w:rsidR="00280FD4" w:rsidRPr="00EF1C66" w:rsidRDefault="00280FD4" w:rsidP="00280FD4">
            <w:pPr>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不動産売払収入</w:t>
            </w:r>
          </w:p>
        </w:tc>
        <w:tc>
          <w:tcPr>
            <w:tcW w:w="1842" w:type="dxa"/>
            <w:noWrap/>
            <w:hideMark/>
          </w:tcPr>
          <w:p w14:paraId="3A0EE89F" w14:textId="5FF76159" w:rsidR="00280FD4" w:rsidRPr="00EF1C66" w:rsidRDefault="00280FD4" w:rsidP="00280FD4">
            <w:pPr>
              <w:ind w:firstLineChars="450" w:firstLine="990"/>
              <w:rPr>
                <w:rFonts w:ascii="ＭＳ Ｐゴシック" w:eastAsia="ＭＳ Ｐゴシック" w:hAnsi="ＭＳ Ｐゴシック"/>
                <w:sz w:val="22"/>
              </w:rPr>
            </w:pPr>
            <w:r>
              <w:rPr>
                <w:rFonts w:ascii="ＭＳ Ｐゴシック" w:eastAsia="ＭＳ Ｐゴシック" w:hAnsi="ＭＳ Ｐゴシック" w:hint="eastAsia"/>
                <w:sz w:val="22"/>
              </w:rPr>
              <w:t>1,000</w:t>
            </w:r>
          </w:p>
        </w:tc>
        <w:tc>
          <w:tcPr>
            <w:tcW w:w="826" w:type="dxa"/>
            <w:hideMark/>
          </w:tcPr>
          <w:p w14:paraId="68FEF4D9" w14:textId="3235BB28" w:rsidR="00280FD4" w:rsidRPr="00EF1C66" w:rsidRDefault="00280FD4" w:rsidP="00280FD4">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4322" w:type="dxa"/>
            <w:hideMark/>
          </w:tcPr>
          <w:p w14:paraId="180427EA" w14:textId="57DDE938" w:rsidR="00280FD4" w:rsidRPr="00EF1C66" w:rsidRDefault="00280FD4" w:rsidP="00280FD4">
            <w:pPr>
              <w:ind w:firstLineChars="650" w:firstLine="1430"/>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鑑定額を基礎</w:t>
            </w:r>
          </w:p>
        </w:tc>
      </w:tr>
      <w:tr w:rsidR="00280FD4" w:rsidRPr="00EF1C66" w14:paraId="3601E493" w14:textId="77777777" w:rsidTr="008230D3">
        <w:trPr>
          <w:trHeight w:val="427"/>
        </w:trPr>
        <w:tc>
          <w:tcPr>
            <w:tcW w:w="2071" w:type="dxa"/>
          </w:tcPr>
          <w:p w14:paraId="1644B02E" w14:textId="67500D17" w:rsidR="00280FD4" w:rsidRPr="00EF1C66" w:rsidRDefault="00280FD4" w:rsidP="00280FD4">
            <w:pPr>
              <w:rPr>
                <w:rFonts w:ascii="ＭＳ Ｐゴシック" w:eastAsia="ＭＳ Ｐゴシック" w:hAnsi="ＭＳ Ｐゴシック"/>
                <w:sz w:val="22"/>
              </w:rPr>
            </w:pPr>
            <w:r w:rsidRPr="00C35767">
              <w:rPr>
                <w:rFonts w:ascii="ＭＳ Ｐゴシック" w:eastAsia="ＭＳ Ｐゴシック" w:hAnsi="ＭＳ Ｐゴシック" w:hint="eastAsia"/>
                <w:sz w:val="22"/>
              </w:rPr>
              <w:t>物品売払収入</w:t>
            </w:r>
          </w:p>
        </w:tc>
        <w:tc>
          <w:tcPr>
            <w:tcW w:w="1842" w:type="dxa"/>
            <w:noWrap/>
          </w:tcPr>
          <w:p w14:paraId="64279406" w14:textId="0513123C" w:rsidR="00280FD4" w:rsidRDefault="00280FD4" w:rsidP="00280FD4">
            <w:pPr>
              <w:ind w:firstLineChars="450" w:firstLine="990"/>
              <w:rPr>
                <w:rFonts w:ascii="ＭＳ Ｐゴシック" w:eastAsia="ＭＳ Ｐゴシック" w:hAnsi="ＭＳ Ｐゴシック"/>
                <w:sz w:val="22"/>
              </w:rPr>
            </w:pPr>
            <w:r>
              <w:rPr>
                <w:rFonts w:ascii="ＭＳ Ｐゴシック" w:eastAsia="ＭＳ Ｐゴシック" w:hAnsi="ＭＳ Ｐゴシック" w:hint="eastAsia"/>
                <w:sz w:val="22"/>
              </w:rPr>
              <w:t>350</w:t>
            </w:r>
          </w:p>
        </w:tc>
        <w:tc>
          <w:tcPr>
            <w:tcW w:w="826" w:type="dxa"/>
          </w:tcPr>
          <w:p w14:paraId="5D6696AD" w14:textId="47AF4A55" w:rsidR="00280FD4" w:rsidRDefault="00280FD4" w:rsidP="00280FD4">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4322" w:type="dxa"/>
          </w:tcPr>
          <w:p w14:paraId="43AF4549" w14:textId="2AC3841C" w:rsidR="00280FD4" w:rsidRPr="00EF1C66" w:rsidRDefault="00280FD4" w:rsidP="00280FD4">
            <w:pPr>
              <w:ind w:firstLineChars="650" w:firstLine="1430"/>
              <w:rPr>
                <w:rFonts w:ascii="ＭＳ Ｐゴシック" w:eastAsia="ＭＳ Ｐゴシック" w:hAnsi="ＭＳ Ｐゴシック"/>
                <w:sz w:val="22"/>
              </w:rPr>
            </w:pPr>
            <w:r w:rsidRPr="00C35767">
              <w:rPr>
                <w:rFonts w:ascii="ＭＳ Ｐゴシック" w:eastAsia="ＭＳ Ｐゴシック" w:hAnsi="ＭＳ Ｐゴシック" w:hint="eastAsia"/>
                <w:sz w:val="22"/>
              </w:rPr>
              <w:t>売却予定額</w:t>
            </w:r>
          </w:p>
        </w:tc>
      </w:tr>
    </w:tbl>
    <w:p w14:paraId="37C7F61D" w14:textId="77777777" w:rsidR="00575F1B" w:rsidRDefault="00575F1B" w:rsidP="00D00CF8">
      <w:pPr>
        <w:ind w:firstLineChars="300" w:firstLine="660"/>
        <w:rPr>
          <w:rFonts w:ascii="ＭＳ Ｐゴシック" w:eastAsia="ＭＳ Ｐゴシック" w:hAnsi="ＭＳ Ｐゴシック"/>
          <w:sz w:val="22"/>
        </w:rPr>
      </w:pPr>
    </w:p>
    <w:p w14:paraId="0D39921A" w14:textId="4D12AC5B" w:rsidR="00575F1B" w:rsidRDefault="00575F1B" w:rsidP="00D00CF8">
      <w:pPr>
        <w:ind w:firstLineChars="300" w:firstLine="660"/>
        <w:rPr>
          <w:rFonts w:ascii="ＭＳ Ｐゴシック" w:eastAsia="ＭＳ Ｐゴシック" w:hAnsi="ＭＳ Ｐゴシック"/>
          <w:sz w:val="22"/>
        </w:rPr>
      </w:pPr>
    </w:p>
    <w:p w14:paraId="606AF9A5" w14:textId="77777777" w:rsidR="00934340" w:rsidRDefault="00934340" w:rsidP="00D00CF8">
      <w:pPr>
        <w:ind w:firstLineChars="300" w:firstLine="660"/>
        <w:rPr>
          <w:rFonts w:ascii="ＭＳ Ｐゴシック" w:eastAsia="ＭＳ Ｐゴシック" w:hAnsi="ＭＳ Ｐゴシック"/>
          <w:sz w:val="22"/>
        </w:rPr>
      </w:pPr>
    </w:p>
    <w:p w14:paraId="74A6A192" w14:textId="77777777" w:rsidR="00D406CE" w:rsidRPr="00D406CE" w:rsidRDefault="00DB4C32" w:rsidP="003F7981">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D406CE">
        <w:rPr>
          <w:rFonts w:ascii="ＭＳ Ｐゴシック" w:eastAsia="ＭＳ Ｐゴシック" w:hAnsi="ＭＳ Ｐゴシック" w:hint="eastAsia"/>
          <w:sz w:val="22"/>
        </w:rPr>
        <w:t xml:space="preserve"> </w:t>
      </w:r>
      <w:r w:rsidR="00D406CE" w:rsidRPr="00D406CE">
        <w:rPr>
          <w:rFonts w:ascii="ＭＳ Ｐゴシック" w:eastAsia="ＭＳ Ｐゴシック" w:hAnsi="ＭＳ Ｐゴシック" w:hint="eastAsia"/>
          <w:sz w:val="22"/>
        </w:rPr>
        <w:t>地方自治法第234条の3に基づく長期継続契約で貸借対照表に計上されたリース債務金額</w:t>
      </w:r>
    </w:p>
    <w:p w14:paraId="1CD27894" w14:textId="7CC1003C" w:rsidR="00F11774" w:rsidRDefault="00280FD4" w:rsidP="00F11774">
      <w:pPr>
        <w:ind w:firstLineChars="350" w:firstLine="770"/>
        <w:rPr>
          <w:rFonts w:ascii="ＭＳ Ｐゴシック" w:eastAsia="ＭＳ Ｐゴシック" w:hAnsi="ＭＳ Ｐゴシック"/>
          <w:sz w:val="22"/>
        </w:rPr>
      </w:pPr>
      <w:r>
        <w:rPr>
          <w:rFonts w:ascii="ＭＳ Ｐゴシック" w:eastAsia="ＭＳ Ｐゴシック" w:hAnsi="ＭＳ Ｐゴシック" w:hint="eastAsia"/>
          <w:sz w:val="22"/>
        </w:rPr>
        <w:t>234,029</w:t>
      </w:r>
      <w:r w:rsidR="00F11774" w:rsidRPr="00575F1B">
        <w:rPr>
          <w:rFonts w:ascii="ＭＳ Ｐゴシック" w:eastAsia="ＭＳ Ｐゴシック" w:hAnsi="ＭＳ Ｐゴシック" w:hint="eastAsia"/>
          <w:sz w:val="22"/>
        </w:rPr>
        <w:t>千円</w:t>
      </w:r>
    </w:p>
    <w:p w14:paraId="5C134223" w14:textId="77777777" w:rsidR="00F17FD2" w:rsidRDefault="00F17FD2" w:rsidP="00F17FD2">
      <w:pPr>
        <w:ind w:firstLineChars="350" w:firstLine="770"/>
        <w:rPr>
          <w:rFonts w:ascii="ＭＳ Ｐゴシック" w:eastAsia="ＭＳ Ｐゴシック" w:hAnsi="ＭＳ Ｐゴシック"/>
          <w:sz w:val="22"/>
        </w:rPr>
      </w:pPr>
    </w:p>
    <w:p w14:paraId="69DD268F" w14:textId="77777777" w:rsidR="00905DDD" w:rsidRDefault="00905DDD" w:rsidP="00F17FD2">
      <w:pPr>
        <w:ind w:firstLineChars="350" w:firstLine="770"/>
        <w:rPr>
          <w:rFonts w:ascii="ＭＳ Ｐゴシック" w:eastAsia="ＭＳ Ｐゴシック" w:hAnsi="ＭＳ Ｐゴシック"/>
          <w:sz w:val="22"/>
        </w:rPr>
      </w:pPr>
    </w:p>
    <w:p w14:paraId="641D20BA"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4C7D652C" w14:textId="77777777" w:rsid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019F2E84"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52C83626"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65D2327C"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4BE7ACD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588E5F8" w14:textId="77777777" w:rsidR="00DD26E4" w:rsidRPr="003F7981" w:rsidRDefault="00DD26E4" w:rsidP="00AD169C">
      <w:pPr>
        <w:rPr>
          <w:rFonts w:ascii="ＭＳ Ｐゴシック" w:eastAsia="ＭＳ Ｐゴシック" w:hAnsi="ＭＳ Ｐゴシック"/>
          <w:sz w:val="22"/>
        </w:rPr>
      </w:pPr>
    </w:p>
    <w:p w14:paraId="7FEB3D2C"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7E96C5E7" w14:textId="20560E79" w:rsidR="00D00CF8" w:rsidRDefault="003F7981" w:rsidP="00D00CF8">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基礎的財政収支</w:t>
      </w:r>
      <w:r w:rsidR="004A3394">
        <w:rPr>
          <w:rFonts w:ascii="ＭＳ Ｐゴシック" w:eastAsia="ＭＳ Ｐゴシック" w:hAnsi="ＭＳ Ｐゴシック" w:hint="eastAsia"/>
          <w:sz w:val="22"/>
        </w:rPr>
        <w:t>（プライマリーバランス</w:t>
      </w:r>
      <w:r w:rsidR="004A3394" w:rsidRPr="008F7861">
        <w:rPr>
          <w:rFonts w:ascii="ＭＳ Ｐゴシック" w:eastAsia="ＭＳ Ｐゴシック" w:hAnsi="ＭＳ Ｐゴシック" w:hint="eastAsia"/>
          <w:sz w:val="22"/>
        </w:rPr>
        <w:t>）</w:t>
      </w:r>
      <w:r w:rsidRPr="008F7861">
        <w:rPr>
          <w:rFonts w:ascii="ＭＳ Ｐゴシック" w:eastAsia="ＭＳ Ｐゴシック" w:hAnsi="ＭＳ Ｐゴシック" w:hint="eastAsia"/>
          <w:sz w:val="22"/>
        </w:rPr>
        <w:t xml:space="preserve"> </w:t>
      </w:r>
      <w:r w:rsidR="00280FD4">
        <w:rPr>
          <w:rFonts w:ascii="ＭＳ Ｐゴシック" w:eastAsia="ＭＳ Ｐゴシック" w:hAnsi="ＭＳ Ｐゴシック" w:hint="eastAsia"/>
          <w:sz w:val="22"/>
        </w:rPr>
        <w:t>693,649</w:t>
      </w:r>
      <w:r w:rsidR="004A3394" w:rsidRPr="008F7861">
        <w:rPr>
          <w:rFonts w:ascii="ＭＳ Ｐゴシック" w:eastAsia="ＭＳ Ｐゴシック" w:hAnsi="ＭＳ Ｐゴシック" w:hint="eastAsia"/>
          <w:sz w:val="22"/>
        </w:rPr>
        <w:t>千</w:t>
      </w:r>
      <w:r w:rsidRPr="008F7861">
        <w:rPr>
          <w:rFonts w:ascii="ＭＳ Ｐゴシック" w:eastAsia="ＭＳ Ｐゴシック" w:hAnsi="ＭＳ Ｐゴシック" w:hint="eastAsia"/>
          <w:sz w:val="22"/>
        </w:rPr>
        <w:t>円</w:t>
      </w:r>
    </w:p>
    <w:p w14:paraId="7933381C" w14:textId="77777777" w:rsidR="007A63AD" w:rsidRDefault="00D00CF8" w:rsidP="00D00CF8">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465B93">
        <w:rPr>
          <w:rFonts w:ascii="ＭＳ Ｐゴシック" w:eastAsia="ＭＳ Ｐゴシック" w:hAnsi="ＭＳ Ｐゴシック" w:hint="eastAsia"/>
          <w:sz w:val="22"/>
        </w:rPr>
        <w:t xml:space="preserve">　</w:t>
      </w:r>
      <w:r w:rsidR="00465B93" w:rsidRPr="00465B93">
        <w:rPr>
          <w:rFonts w:ascii="ＭＳ Ｐゴシック" w:eastAsia="ＭＳ Ｐゴシック" w:hAnsi="ＭＳ Ｐゴシック" w:hint="eastAsia"/>
          <w:sz w:val="22"/>
        </w:rPr>
        <w:t>重要な非資金取引</w:t>
      </w:r>
    </w:p>
    <w:p w14:paraId="3CFC7A7D" w14:textId="77777777" w:rsidR="00465B93" w:rsidRDefault="007A63AD" w:rsidP="00333EF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2248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該当なし</w:t>
      </w:r>
    </w:p>
    <w:sectPr w:rsidR="00465B93" w:rsidSect="00887952">
      <w:footerReference w:type="default" r:id="rId7"/>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DEF4" w14:textId="77777777" w:rsidR="009D7F07" w:rsidRDefault="009D7F07" w:rsidP="00DD59C7">
      <w:pPr>
        <w:spacing w:line="240" w:lineRule="auto"/>
      </w:pPr>
      <w:r>
        <w:separator/>
      </w:r>
    </w:p>
  </w:endnote>
  <w:endnote w:type="continuationSeparator" w:id="0">
    <w:p w14:paraId="2EC103F1"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736"/>
      <w:docPartObj>
        <w:docPartGallery w:val="Page Numbers (Bottom of Page)"/>
        <w:docPartUnique/>
      </w:docPartObj>
    </w:sdtPr>
    <w:sdtContent>
      <w:sdt>
        <w:sdtPr>
          <w:id w:val="1728636285"/>
          <w:docPartObj>
            <w:docPartGallery w:val="Page Numbers (Top of Page)"/>
            <w:docPartUnique/>
          </w:docPartObj>
        </w:sdtPr>
        <w:sdtContent>
          <w:p w14:paraId="4078FAA3" w14:textId="745BEF25" w:rsidR="00887952" w:rsidRDefault="0088795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588D752"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F20A" w14:textId="77777777" w:rsidR="009D7F07" w:rsidRDefault="009D7F07" w:rsidP="00DD59C7">
      <w:pPr>
        <w:spacing w:line="240" w:lineRule="auto"/>
      </w:pPr>
      <w:r>
        <w:separator/>
      </w:r>
    </w:p>
  </w:footnote>
  <w:footnote w:type="continuationSeparator" w:id="0">
    <w:p w14:paraId="136AEE62"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34FCB"/>
    <w:rsid w:val="00060CC6"/>
    <w:rsid w:val="00075196"/>
    <w:rsid w:val="00094E5D"/>
    <w:rsid w:val="000A3E22"/>
    <w:rsid w:val="000F1AB9"/>
    <w:rsid w:val="00123364"/>
    <w:rsid w:val="00127FD9"/>
    <w:rsid w:val="001501C2"/>
    <w:rsid w:val="00152A6E"/>
    <w:rsid w:val="00164E05"/>
    <w:rsid w:val="001778CD"/>
    <w:rsid w:val="001A2BCC"/>
    <w:rsid w:val="00214D2B"/>
    <w:rsid w:val="00216888"/>
    <w:rsid w:val="00221BC6"/>
    <w:rsid w:val="002409C9"/>
    <w:rsid w:val="002533AB"/>
    <w:rsid w:val="00271A83"/>
    <w:rsid w:val="0027268F"/>
    <w:rsid w:val="00280FD4"/>
    <w:rsid w:val="00293D84"/>
    <w:rsid w:val="002F5454"/>
    <w:rsid w:val="003016FA"/>
    <w:rsid w:val="00303119"/>
    <w:rsid w:val="003104E7"/>
    <w:rsid w:val="00314212"/>
    <w:rsid w:val="00333C4B"/>
    <w:rsid w:val="00333EF0"/>
    <w:rsid w:val="00382737"/>
    <w:rsid w:val="00392914"/>
    <w:rsid w:val="00397875"/>
    <w:rsid w:val="003B5EB1"/>
    <w:rsid w:val="003F190B"/>
    <w:rsid w:val="003F7981"/>
    <w:rsid w:val="00403B3D"/>
    <w:rsid w:val="00443B27"/>
    <w:rsid w:val="004623E4"/>
    <w:rsid w:val="00465B93"/>
    <w:rsid w:val="00474B20"/>
    <w:rsid w:val="004A3394"/>
    <w:rsid w:val="004A4CA1"/>
    <w:rsid w:val="004A7219"/>
    <w:rsid w:val="004D7BA7"/>
    <w:rsid w:val="004F4622"/>
    <w:rsid w:val="00502826"/>
    <w:rsid w:val="0051428F"/>
    <w:rsid w:val="00536E60"/>
    <w:rsid w:val="00566563"/>
    <w:rsid w:val="00570833"/>
    <w:rsid w:val="005756E6"/>
    <w:rsid w:val="00575F1B"/>
    <w:rsid w:val="00583A24"/>
    <w:rsid w:val="006075A6"/>
    <w:rsid w:val="006215B4"/>
    <w:rsid w:val="006615EC"/>
    <w:rsid w:val="0066415D"/>
    <w:rsid w:val="00687067"/>
    <w:rsid w:val="00697000"/>
    <w:rsid w:val="006B5345"/>
    <w:rsid w:val="006B7C78"/>
    <w:rsid w:val="007344C3"/>
    <w:rsid w:val="007359B8"/>
    <w:rsid w:val="00781120"/>
    <w:rsid w:val="007A4D06"/>
    <w:rsid w:val="007A63AD"/>
    <w:rsid w:val="007A77BC"/>
    <w:rsid w:val="007B56FA"/>
    <w:rsid w:val="007C3BFE"/>
    <w:rsid w:val="00810927"/>
    <w:rsid w:val="008230D3"/>
    <w:rsid w:val="00825CEF"/>
    <w:rsid w:val="00871DDF"/>
    <w:rsid w:val="00887952"/>
    <w:rsid w:val="00892030"/>
    <w:rsid w:val="00897F94"/>
    <w:rsid w:val="008B7770"/>
    <w:rsid w:val="008B7ED8"/>
    <w:rsid w:val="008D6995"/>
    <w:rsid w:val="008E1985"/>
    <w:rsid w:val="008F7861"/>
    <w:rsid w:val="00901828"/>
    <w:rsid w:val="00905DDD"/>
    <w:rsid w:val="0092248B"/>
    <w:rsid w:val="0092517F"/>
    <w:rsid w:val="00934340"/>
    <w:rsid w:val="00935560"/>
    <w:rsid w:val="009425C6"/>
    <w:rsid w:val="00950297"/>
    <w:rsid w:val="00951A9E"/>
    <w:rsid w:val="009579A1"/>
    <w:rsid w:val="00974860"/>
    <w:rsid w:val="00997EC1"/>
    <w:rsid w:val="009A0768"/>
    <w:rsid w:val="009B24AE"/>
    <w:rsid w:val="009B6D75"/>
    <w:rsid w:val="009D16B9"/>
    <w:rsid w:val="009D7F07"/>
    <w:rsid w:val="009F0E66"/>
    <w:rsid w:val="009F444B"/>
    <w:rsid w:val="009F474A"/>
    <w:rsid w:val="009F58F1"/>
    <w:rsid w:val="00A232A8"/>
    <w:rsid w:val="00A33C0E"/>
    <w:rsid w:val="00A53D0D"/>
    <w:rsid w:val="00A62D46"/>
    <w:rsid w:val="00A6619F"/>
    <w:rsid w:val="00A82D55"/>
    <w:rsid w:val="00AA58A9"/>
    <w:rsid w:val="00AB76DF"/>
    <w:rsid w:val="00AC0BFA"/>
    <w:rsid w:val="00AC18AC"/>
    <w:rsid w:val="00AD169C"/>
    <w:rsid w:val="00B03062"/>
    <w:rsid w:val="00B06D31"/>
    <w:rsid w:val="00B24B66"/>
    <w:rsid w:val="00B32CF3"/>
    <w:rsid w:val="00B34544"/>
    <w:rsid w:val="00B417A1"/>
    <w:rsid w:val="00B7791C"/>
    <w:rsid w:val="00B77A49"/>
    <w:rsid w:val="00BB57E4"/>
    <w:rsid w:val="00BC6402"/>
    <w:rsid w:val="00C462DF"/>
    <w:rsid w:val="00C779E9"/>
    <w:rsid w:val="00C84D83"/>
    <w:rsid w:val="00CB7491"/>
    <w:rsid w:val="00CC6A58"/>
    <w:rsid w:val="00CE4699"/>
    <w:rsid w:val="00CF684A"/>
    <w:rsid w:val="00D00CF8"/>
    <w:rsid w:val="00D023EC"/>
    <w:rsid w:val="00D04CE7"/>
    <w:rsid w:val="00D104F0"/>
    <w:rsid w:val="00D11D3E"/>
    <w:rsid w:val="00D22D62"/>
    <w:rsid w:val="00D37AFB"/>
    <w:rsid w:val="00D406CE"/>
    <w:rsid w:val="00D71773"/>
    <w:rsid w:val="00DA2BB4"/>
    <w:rsid w:val="00DB4C32"/>
    <w:rsid w:val="00DB68B4"/>
    <w:rsid w:val="00DD26E4"/>
    <w:rsid w:val="00DD59C7"/>
    <w:rsid w:val="00DF530C"/>
    <w:rsid w:val="00DF64CC"/>
    <w:rsid w:val="00E37C39"/>
    <w:rsid w:val="00EB4D49"/>
    <w:rsid w:val="00EF4B80"/>
    <w:rsid w:val="00F01734"/>
    <w:rsid w:val="00F11774"/>
    <w:rsid w:val="00F17FD2"/>
    <w:rsid w:val="00F418EA"/>
    <w:rsid w:val="00F670A0"/>
    <w:rsid w:val="00F7075B"/>
    <w:rsid w:val="00F90AFE"/>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00796AE"/>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9BB4-6AE7-4D12-83E8-46EE0F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森田会計</cp:lastModifiedBy>
  <cp:revision>29</cp:revision>
  <cp:lastPrinted>2022-03-15T02:34:00Z</cp:lastPrinted>
  <dcterms:created xsi:type="dcterms:W3CDTF">2018-03-15T12:37:00Z</dcterms:created>
  <dcterms:modified xsi:type="dcterms:W3CDTF">2022-03-15T02:34:00Z</dcterms:modified>
</cp:coreProperties>
</file>